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8B67E" w14:textId="52FDE83B" w:rsidR="00DF71F9" w:rsidRDefault="003019EF">
      <w:pPr>
        <w:jc w:val="center"/>
        <w:rPr>
          <w:b/>
          <w:bCs/>
          <w:u w:val="single"/>
        </w:rPr>
      </w:pPr>
      <w:r>
        <w:rPr>
          <w:b/>
          <w:bCs/>
          <w:noProof/>
          <w:sz w:val="20"/>
          <w:u w:val="single"/>
        </w:rPr>
        <mc:AlternateContent>
          <mc:Choice Requires="wps">
            <w:drawing>
              <wp:anchor distT="0" distB="0" distL="114300" distR="114300" simplePos="0" relativeHeight="251658752" behindDoc="0" locked="0" layoutInCell="1" allowOverlap="1" wp14:anchorId="2D0BD3D9" wp14:editId="0F4A779E">
                <wp:simplePos x="0" y="0"/>
                <wp:positionH relativeFrom="column">
                  <wp:posOffset>2971800</wp:posOffset>
                </wp:positionH>
                <wp:positionV relativeFrom="paragraph">
                  <wp:posOffset>167640</wp:posOffset>
                </wp:positionV>
                <wp:extent cx="0" cy="2400300"/>
                <wp:effectExtent l="9525" t="5715" r="9525" b="133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0B571"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3.2pt" to="234pt,2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"/>
            </w:pict>
          </mc:Fallback>
        </mc:AlternateContent>
      </w:r>
      <w:r>
        <w:rPr>
          <w:b/>
          <w:bCs/>
          <w:noProof/>
          <w:sz w:val="20"/>
          <w:u w:val="single"/>
        </w:rPr>
        <mc:AlternateContent>
          <mc:Choice Requires="wps">
            <w:drawing>
              <wp:anchor distT="0" distB="0" distL="114300" distR="114300" simplePos="0" relativeHeight="251656704" behindDoc="0" locked="0" layoutInCell="1" allowOverlap="1" wp14:anchorId="39CAE707" wp14:editId="721AE275">
                <wp:simplePos x="0" y="0"/>
                <wp:positionH relativeFrom="column">
                  <wp:posOffset>2971800</wp:posOffset>
                </wp:positionH>
                <wp:positionV relativeFrom="paragraph">
                  <wp:posOffset>167640</wp:posOffset>
                </wp:positionV>
                <wp:extent cx="0" cy="2057400"/>
                <wp:effectExtent l="9525" t="5715" r="952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CFDE8"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3.2pt" to="234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"/>
            </w:pict>
          </mc:Fallback>
        </mc:AlternateContent>
      </w:r>
      <w:r w:rsidR="00F01689">
        <w:rPr>
          <w:b/>
          <w:bCs/>
          <w:u w:val="single"/>
        </w:rPr>
        <w:softHyphen/>
      </w:r>
      <w:r w:rsidR="00F01689">
        <w:rPr>
          <w:b/>
          <w:bCs/>
          <w:u w:val="single"/>
        </w:rPr>
        <w:softHyphen/>
      </w:r>
    </w:p>
    <w:p w14:paraId="241DE35B" w14:textId="77777777" w:rsidR="00DF71F9" w:rsidRDefault="00DF71F9">
      <w:pPr>
        <w:pBdr>
          <w:bar w:val="single" w:sz="4" w:color="auto"/>
        </w:pBdr>
      </w:pPr>
      <w:r>
        <w:t>Free Recording Pursuant to</w:t>
      </w:r>
    </w:p>
    <w:p w14:paraId="29A7DCE5" w14:textId="77777777" w:rsidR="00DF71F9" w:rsidRDefault="00DF71F9">
      <w:pPr>
        <w:pStyle w:val="Plain"/>
        <w:pBdr>
          <w:bar w:val="single" w:sz="4" w:color="auto"/>
        </w:pBdr>
      </w:pPr>
      <w:r>
        <w:t>Government Code Section 27383 at the</w:t>
      </w:r>
    </w:p>
    <w:p w14:paraId="27D217EE" w14:textId="77777777" w:rsidR="00DF71F9" w:rsidRDefault="00DF71F9" w:rsidP="005500D6">
      <w:pPr>
        <w:pStyle w:val="Plain"/>
        <w:pBdr>
          <w:bar w:val="single" w:sz="4" w:color="auto"/>
        </w:pBdr>
      </w:pPr>
      <w:r>
        <w:t xml:space="preserve">Request of the </w:t>
      </w:r>
      <w:r w:rsidR="005500D6">
        <w:t>California Department</w:t>
      </w:r>
    </w:p>
    <w:p w14:paraId="41ECDE07" w14:textId="77777777" w:rsidR="005500D6" w:rsidRDefault="005500D6" w:rsidP="005500D6">
      <w:pPr>
        <w:pStyle w:val="Plain"/>
        <w:pBdr>
          <w:bar w:val="single" w:sz="4" w:color="auto"/>
        </w:pBdr>
      </w:pPr>
      <w:r>
        <w:t>of Transportation</w:t>
      </w:r>
    </w:p>
    <w:p w14:paraId="370E80D8" w14:textId="77777777" w:rsidR="00DF71F9" w:rsidRDefault="00DF71F9">
      <w:pPr>
        <w:pStyle w:val="Plain"/>
        <w:pBdr>
          <w:bar w:val="single" w:sz="4" w:color="auto"/>
        </w:pBdr>
      </w:pPr>
    </w:p>
    <w:p w14:paraId="4271B131" w14:textId="77777777" w:rsidR="00DF71F9" w:rsidRDefault="00DF71F9">
      <w:pPr>
        <w:pBdr>
          <w:bar w:val="single" w:sz="4" w:color="auto"/>
        </w:pBdr>
      </w:pPr>
      <w:r>
        <w:t xml:space="preserve">RECORDING REQUESTED BY AND </w:t>
      </w:r>
    </w:p>
    <w:p w14:paraId="1EA76CA9" w14:textId="77777777" w:rsidR="00DF71F9" w:rsidRDefault="00DF71F9">
      <w:pPr>
        <w:pBdr>
          <w:bar w:val="single" w:sz="4" w:color="auto"/>
        </w:pBdr>
      </w:pPr>
      <w:r>
        <w:t>WHEN RECORDED RETURN TO:</w:t>
      </w:r>
    </w:p>
    <w:p w14:paraId="18004A4A" w14:textId="77777777" w:rsidR="00DF71F9" w:rsidRDefault="00DF71F9">
      <w:pPr>
        <w:pBdr>
          <w:bar w:val="single" w:sz="4" w:color="auto"/>
        </w:pBdr>
      </w:pPr>
    </w:p>
    <w:p w14:paraId="6BA097D5" w14:textId="77777777" w:rsidR="00A452B7" w:rsidRDefault="005500D6" w:rsidP="005500D6">
      <w:pPr>
        <w:pBdr>
          <w:bar w:val="single" w:sz="4" w:color="auto"/>
        </w:pBdr>
      </w:pPr>
      <w:r>
        <w:t xml:space="preserve">California Department of </w:t>
      </w:r>
      <w:r w:rsidR="00284A75">
        <w:t xml:space="preserve">Housing and </w:t>
      </w:r>
    </w:p>
    <w:p w14:paraId="5E2EC9E1" w14:textId="0AEDB0C8" w:rsidR="005500D6" w:rsidRDefault="00284A75" w:rsidP="005500D6">
      <w:pPr>
        <w:pBdr>
          <w:bar w:val="single" w:sz="4" w:color="auto"/>
        </w:pBdr>
      </w:pPr>
      <w:r>
        <w:t>Community Development</w:t>
      </w:r>
    </w:p>
    <w:p w14:paraId="55D934B5" w14:textId="4C8281AA" w:rsidR="001F106F" w:rsidRDefault="00462697" w:rsidP="005500D6">
      <w:pPr>
        <w:pBdr>
          <w:bar w:val="single" w:sz="4" w:color="auto"/>
        </w:pBdr>
      </w:pPr>
      <w:r>
        <w:t>P.O. Box 952052</w:t>
      </w:r>
    </w:p>
    <w:p w14:paraId="1705E94A" w14:textId="7F9F23BA" w:rsidR="005500D6" w:rsidRDefault="005500D6" w:rsidP="005500D6">
      <w:pPr>
        <w:pBdr>
          <w:bar w:val="single" w:sz="4" w:color="auto"/>
        </w:pBdr>
      </w:pPr>
      <w:r>
        <w:t xml:space="preserve">Sacramento, California </w:t>
      </w:r>
      <w:r w:rsidR="00462697">
        <w:t>94252-2052</w:t>
      </w:r>
    </w:p>
    <w:p w14:paraId="58D38131" w14:textId="5CA67D8F" w:rsidR="005500D6" w:rsidRDefault="005500D6" w:rsidP="005500D6">
      <w:pPr>
        <w:pBdr>
          <w:bar w:val="single" w:sz="4" w:color="auto"/>
        </w:pBdr>
      </w:pPr>
      <w:r>
        <w:t>Attn: General Counsel</w:t>
      </w:r>
    </w:p>
    <w:p w14:paraId="45100F50" w14:textId="77777777" w:rsidR="00DF71F9" w:rsidRDefault="00DF71F9">
      <w:pPr>
        <w:pBdr>
          <w:bar w:val="single" w:sz="4" w:color="auto"/>
        </w:pBdr>
      </w:pPr>
    </w:p>
    <w:p w14:paraId="14285A17" w14:textId="40763401" w:rsidR="00DF71F9" w:rsidRDefault="00DF71F9">
      <w:pPr>
        <w:pStyle w:val="BalloonText"/>
        <w:overflowPunct/>
        <w:autoSpaceDE/>
        <w:autoSpaceDN/>
        <w:adjustRightInd/>
        <w:spacing w:after="240"/>
        <w:textAlignment w:val="auto"/>
        <w:rPr>
          <w:rFonts w:ascii="Times New Roman" w:hAnsi="Times New Roman" w:cs="Times New Roman"/>
          <w:szCs w:val="24"/>
        </w:rPr>
      </w:pPr>
      <w:r>
        <w:rPr>
          <w:b/>
          <w:sz w:val="20"/>
        </w:rPr>
        <w:t>[site address]</w:t>
      </w:r>
      <w:r w:rsidR="003019EF">
        <w:rPr>
          <w:rFonts w:ascii="Times New Roman" w:hAnsi="Times New Roman" w:cs="Times New Roman"/>
          <w:noProof/>
          <w:szCs w:val="24"/>
        </w:rPr>
        <mc:AlternateContent>
          <mc:Choice Requires="wps">
            <w:drawing>
              <wp:anchor distT="0" distB="0" distL="114300" distR="114300" simplePos="0" relativeHeight="251657728" behindDoc="0" locked="0" layoutInCell="1" allowOverlap="1" wp14:anchorId="0240CFA5" wp14:editId="2CD9F419">
                <wp:simplePos x="0" y="0"/>
                <wp:positionH relativeFrom="column">
                  <wp:posOffset>0</wp:posOffset>
                </wp:positionH>
                <wp:positionV relativeFrom="paragraph">
                  <wp:posOffset>-1270</wp:posOffset>
                </wp:positionV>
                <wp:extent cx="6172200" cy="0"/>
                <wp:effectExtent l="9525" t="8255" r="952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E021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8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"/>
            </w:pict>
          </mc:Fallback>
        </mc:AlternateContent>
      </w:r>
      <w:r>
        <w:rPr>
          <w:b/>
          <w:sz w:val="20"/>
        </w:rPr>
        <w:tab/>
      </w:r>
      <w:r>
        <w:rPr>
          <w:b/>
          <w:sz w:val="20"/>
        </w:rPr>
        <w:tab/>
      </w:r>
      <w:r>
        <w:rPr>
          <w:b/>
          <w:sz w:val="20"/>
        </w:rPr>
        <w:tab/>
      </w:r>
      <w:r>
        <w:rPr>
          <w:rFonts w:ascii="Times New Roman" w:hAnsi="Times New Roman" w:cs="Times New Roman"/>
          <w:szCs w:val="24"/>
        </w:rPr>
        <w:t>(Space Above This Line for Recorder’s Use)</w:t>
      </w:r>
    </w:p>
    <w:p w14:paraId="6B14D8A7" w14:textId="77777777" w:rsidR="00DF71F9" w:rsidRDefault="00DF71F9">
      <w:pPr>
        <w:jc w:val="center"/>
        <w:rPr>
          <w:b/>
          <w:bCs/>
          <w:u w:val="single"/>
        </w:rPr>
      </w:pPr>
    </w:p>
    <w:p w14:paraId="19C876A1" w14:textId="5CBA7868" w:rsidR="00F50C47" w:rsidRDefault="00F45041">
      <w:pPr>
        <w:jc w:val="center"/>
        <w:rPr>
          <w:b/>
          <w:bCs/>
        </w:rPr>
      </w:pPr>
      <w:r>
        <w:rPr>
          <w:b/>
          <w:bCs/>
        </w:rPr>
        <w:t>DECLARATION OF COVENANTS, CONDITIONS</w:t>
      </w:r>
      <w:r w:rsidR="00C3666B">
        <w:rPr>
          <w:b/>
          <w:bCs/>
        </w:rPr>
        <w:t>,</w:t>
      </w:r>
      <w:r>
        <w:rPr>
          <w:b/>
          <w:bCs/>
        </w:rPr>
        <w:t xml:space="preserve"> AND RESTRICTIONS </w:t>
      </w:r>
    </w:p>
    <w:p w14:paraId="3A7BD0FC" w14:textId="613054A4" w:rsidR="00DF71F9" w:rsidRDefault="00F45041">
      <w:pPr>
        <w:jc w:val="center"/>
        <w:rPr>
          <w:b/>
          <w:bCs/>
        </w:rPr>
      </w:pPr>
      <w:r>
        <w:rPr>
          <w:b/>
          <w:bCs/>
        </w:rPr>
        <w:t>(</w:t>
      </w:r>
      <w:r w:rsidR="00F50C47">
        <w:rPr>
          <w:b/>
          <w:bCs/>
        </w:rPr>
        <w:t xml:space="preserve">CALTRANS </w:t>
      </w:r>
      <w:r w:rsidR="00EE5F3E">
        <w:rPr>
          <w:b/>
          <w:bCs/>
        </w:rPr>
        <w:t xml:space="preserve">STATE ROUTE </w:t>
      </w:r>
      <w:r w:rsidR="00F50C47">
        <w:rPr>
          <w:b/>
          <w:bCs/>
        </w:rPr>
        <w:t>710 SALES PROGRAM</w:t>
      </w:r>
      <w:r>
        <w:rPr>
          <w:b/>
          <w:bCs/>
        </w:rPr>
        <w:t>)</w:t>
      </w:r>
    </w:p>
    <w:p w14:paraId="3B0D2CDD" w14:textId="77777777" w:rsidR="00114B5D" w:rsidRDefault="00114B5D">
      <w:pPr>
        <w:jc w:val="both"/>
        <w:rPr>
          <w:b/>
          <w:bCs/>
        </w:rPr>
      </w:pPr>
    </w:p>
    <w:p w14:paraId="037EE18C" w14:textId="78060440" w:rsidR="00DF71F9" w:rsidRDefault="00DF71F9" w:rsidP="001B51EC">
      <w:pPr>
        <w:ind w:firstLine="720"/>
      </w:pPr>
      <w:r w:rsidRPr="002813C4">
        <w:rPr>
          <w:b/>
        </w:rPr>
        <w:t xml:space="preserve">THIS </w:t>
      </w:r>
      <w:r w:rsidR="00F45041">
        <w:rPr>
          <w:b/>
        </w:rPr>
        <w:t>DECLARATION OF COVENANTS, CONDITIONS</w:t>
      </w:r>
      <w:r w:rsidR="00C3666B">
        <w:rPr>
          <w:b/>
        </w:rPr>
        <w:t>,</w:t>
      </w:r>
      <w:r w:rsidR="00F45041">
        <w:rPr>
          <w:b/>
        </w:rPr>
        <w:t xml:space="preserve"> AND RESTRICTIONS (</w:t>
      </w:r>
      <w:r w:rsidR="00F50C47">
        <w:rPr>
          <w:b/>
        </w:rPr>
        <w:t xml:space="preserve">CALTRANS </w:t>
      </w:r>
      <w:r w:rsidR="00EE5F3E">
        <w:rPr>
          <w:b/>
        </w:rPr>
        <w:t xml:space="preserve">STATE ROUTE </w:t>
      </w:r>
      <w:r w:rsidR="00F50C47">
        <w:rPr>
          <w:b/>
        </w:rPr>
        <w:t>710 SALES PROGRAM</w:t>
      </w:r>
      <w:r w:rsidR="00F45041">
        <w:rPr>
          <w:b/>
        </w:rPr>
        <w:t xml:space="preserve">) </w:t>
      </w:r>
      <w:r>
        <w:t>(“</w:t>
      </w:r>
      <w:r w:rsidR="000C670C">
        <w:rPr>
          <w:b/>
          <w:i/>
        </w:rPr>
        <w:t>Use and Resale Covenant</w:t>
      </w:r>
      <w:r>
        <w:t xml:space="preserve">”) is </w:t>
      </w:r>
      <w:r w:rsidR="002303D0">
        <w:t>dated</w:t>
      </w:r>
      <w:r>
        <w:t xml:space="preserve"> ______________________, 20__, </w:t>
      </w:r>
      <w:r w:rsidR="002303D0">
        <w:t xml:space="preserve">for reference purposes only, </w:t>
      </w:r>
      <w:r>
        <w:t xml:space="preserve">by and </w:t>
      </w:r>
      <w:r w:rsidR="00922791">
        <w:t>among</w:t>
      </w:r>
      <w:r>
        <w:t xml:space="preserve"> </w:t>
      </w:r>
      <w:r w:rsidR="00D35323">
        <w:t>the City of  Pasadena, (“</w:t>
      </w:r>
      <w:r w:rsidR="006C4834">
        <w:rPr>
          <w:b/>
          <w:bCs/>
          <w:i/>
          <w:iCs/>
        </w:rPr>
        <w:t>City</w:t>
      </w:r>
      <w:r>
        <w:t>”)</w:t>
      </w:r>
      <w:r w:rsidR="00E81555">
        <w:t xml:space="preserve">, </w:t>
      </w:r>
      <w:r w:rsidR="00E81555" w:rsidRPr="002813C4">
        <w:rPr>
          <w:rFonts w:eastAsia="Calibri"/>
        </w:rPr>
        <w:t>the</w:t>
      </w:r>
      <w:r w:rsidR="00E81555">
        <w:rPr>
          <w:rFonts w:eastAsia="Calibri"/>
        </w:rPr>
        <w:t xml:space="preserve"> California </w:t>
      </w:r>
      <w:r w:rsidR="00E81555" w:rsidRPr="002813C4">
        <w:rPr>
          <w:rFonts w:eastAsia="Calibri"/>
        </w:rPr>
        <w:t>Department</w:t>
      </w:r>
      <w:r w:rsidR="00E81555">
        <w:rPr>
          <w:rFonts w:eastAsia="Calibri"/>
        </w:rPr>
        <w:t xml:space="preserve"> of Transportation, a </w:t>
      </w:r>
      <w:r w:rsidR="00922791">
        <w:rPr>
          <w:rFonts w:eastAsia="Calibri"/>
        </w:rPr>
        <w:t xml:space="preserve">department </w:t>
      </w:r>
      <w:r w:rsidR="00E81555">
        <w:rPr>
          <w:rFonts w:eastAsia="Calibri"/>
        </w:rPr>
        <w:t>of the State of California (“</w:t>
      </w:r>
      <w:r w:rsidR="00E81555" w:rsidRPr="001F106F">
        <w:rPr>
          <w:rFonts w:eastAsia="Calibri"/>
          <w:b/>
          <w:i/>
        </w:rPr>
        <w:t>Caltrans</w:t>
      </w:r>
      <w:r w:rsidR="00DA04C4">
        <w:t>”)</w:t>
      </w:r>
      <w:r w:rsidR="00922791">
        <w:t xml:space="preserve">, </w:t>
      </w:r>
      <w:r w:rsidR="00922791" w:rsidRPr="00BC2890">
        <w:t xml:space="preserve">and </w:t>
      </w:r>
      <w:r w:rsidR="00F74276" w:rsidRPr="00BC2890">
        <w:t>the California Department of Housing and Community Development, a department of the State of California (</w:t>
      </w:r>
      <w:r w:rsidR="00922791" w:rsidRPr="00BC2890">
        <w:t>Monitoring Entity</w:t>
      </w:r>
      <w:r w:rsidR="00F74276" w:rsidRPr="00BC2890">
        <w:t>)</w:t>
      </w:r>
      <w:r w:rsidR="001364EA" w:rsidRPr="00BC2890">
        <w:t>.</w:t>
      </w:r>
      <w:r>
        <w:t xml:space="preserve"> </w:t>
      </w:r>
      <w:r w:rsidR="00C97F59">
        <w:t xml:space="preserve"> </w:t>
      </w:r>
      <w:r w:rsidR="006C4834">
        <w:t>City</w:t>
      </w:r>
      <w:r>
        <w:t xml:space="preserve"> is purchasing that certain real property</w:t>
      </w:r>
      <w:r w:rsidR="00922791">
        <w:t>, consisting of land and all buildings thereon,</w:t>
      </w:r>
      <w:r>
        <w:t xml:space="preserve"> in the City </w:t>
      </w:r>
      <w:r w:rsidR="00DA04C4">
        <w:t xml:space="preserve">of </w:t>
      </w:r>
      <w:r w:rsidR="00D35323">
        <w:t>Pasadena</w:t>
      </w:r>
      <w:r w:rsidR="00DA04C4">
        <w:t xml:space="preserve"> </w:t>
      </w:r>
      <w:r>
        <w:t xml:space="preserve">with a street address of ______________________________________, </w:t>
      </w:r>
      <w:r w:rsidR="001E46D4">
        <w:rPr>
          <w:u w:val="single"/>
        </w:rPr>
        <w:tab/>
      </w:r>
      <w:r w:rsidR="001E46D4">
        <w:rPr>
          <w:u w:val="single"/>
        </w:rPr>
        <w:tab/>
      </w:r>
      <w:r w:rsidR="001E46D4">
        <w:rPr>
          <w:u w:val="single"/>
        </w:rPr>
        <w:tab/>
      </w:r>
      <w:r>
        <w:t>, California _______, and</w:t>
      </w:r>
      <w:r w:rsidR="00922791">
        <w:t xml:space="preserve"> a legal description found in </w:t>
      </w:r>
      <w:r w:rsidRPr="002813C4">
        <w:rPr>
          <w:u w:val="single"/>
        </w:rPr>
        <w:t>Exhibit A</w:t>
      </w:r>
      <w:r>
        <w:t xml:space="preserve"> </w:t>
      </w:r>
      <w:r w:rsidR="00DA04C4">
        <w:t>attached hereto</w:t>
      </w:r>
      <w:r w:rsidR="00922791">
        <w:t xml:space="preserve"> and made a part hereof</w:t>
      </w:r>
      <w:r>
        <w:t xml:space="preserve"> (“</w:t>
      </w:r>
      <w:r w:rsidRPr="002813C4">
        <w:rPr>
          <w:b/>
          <w:i/>
        </w:rPr>
        <w:t>Property</w:t>
      </w:r>
      <w:r>
        <w:t xml:space="preserve">”).  Capitalized terms used in this </w:t>
      </w:r>
      <w:r w:rsidR="00195BCB">
        <w:t>Use and Resale Covenant</w:t>
      </w:r>
      <w:r w:rsidR="00922791">
        <w:t xml:space="preserve"> not already defined </w:t>
      </w:r>
      <w:r w:rsidR="00221579">
        <w:t>above</w:t>
      </w:r>
      <w:r w:rsidR="00DA04C4">
        <w:t xml:space="preserve"> </w:t>
      </w:r>
      <w:r>
        <w:t xml:space="preserve">have the meanings given to them in Section </w:t>
      </w:r>
      <w:r w:rsidR="00CF0983">
        <w:t>2</w:t>
      </w:r>
      <w:r w:rsidR="00DA04C4">
        <w:t xml:space="preserve"> </w:t>
      </w:r>
      <w:r>
        <w:t>below.</w:t>
      </w:r>
      <w:r w:rsidR="00EC457D">
        <w:t xml:space="preserve">  </w:t>
      </w:r>
      <w:r w:rsidR="00F45041">
        <w:t xml:space="preserve">This </w:t>
      </w:r>
      <w:r w:rsidR="000C670C">
        <w:t>Use and Resale Covenant</w:t>
      </w:r>
      <w:r w:rsidR="00F45041">
        <w:t xml:space="preserve"> is made with reference to the following facts:</w:t>
      </w:r>
    </w:p>
    <w:p w14:paraId="359F615F" w14:textId="77777777" w:rsidR="00DF71F9" w:rsidRDefault="00DF71F9" w:rsidP="00A14517"/>
    <w:p w14:paraId="3E67451D" w14:textId="77777777" w:rsidR="00E4707B" w:rsidRDefault="00DA04C4" w:rsidP="006F0914">
      <w:pPr>
        <w:spacing w:after="200" w:line="276" w:lineRule="auto"/>
        <w:contextualSpacing/>
        <w:jc w:val="center"/>
      </w:pPr>
      <w:r w:rsidRPr="002813C4">
        <w:rPr>
          <w:b/>
          <w:bCs/>
          <w:u w:val="single"/>
        </w:rPr>
        <w:t>RECITALS</w:t>
      </w:r>
    </w:p>
    <w:p w14:paraId="1AD34DF1" w14:textId="77777777" w:rsidR="00C7549D" w:rsidRDefault="00C7549D" w:rsidP="001F106F"/>
    <w:p w14:paraId="3761D950" w14:textId="0E122CC1" w:rsidR="00DA6105" w:rsidRPr="00674129" w:rsidRDefault="00D74D1E" w:rsidP="001B51EC">
      <w:pPr>
        <w:spacing w:after="200" w:line="276" w:lineRule="auto"/>
        <w:contextualSpacing/>
        <w:rPr>
          <w:rFonts w:eastAsia="Calibri"/>
        </w:rPr>
      </w:pPr>
      <w:r w:rsidRPr="004C00B2">
        <w:rPr>
          <w:b/>
        </w:rPr>
        <w:t>A.</w:t>
      </w:r>
      <w:r w:rsidR="00E4707B">
        <w:tab/>
      </w:r>
      <w:r w:rsidR="00DA04C4" w:rsidRPr="002813C4">
        <w:rPr>
          <w:rFonts w:eastAsia="Calibri"/>
          <w:b/>
        </w:rPr>
        <w:t>WHEREAS</w:t>
      </w:r>
      <w:r w:rsidR="00DA04C4">
        <w:rPr>
          <w:rFonts w:eastAsia="Calibri"/>
        </w:rPr>
        <w:t xml:space="preserve">, </w:t>
      </w:r>
      <w:r w:rsidR="00DA04C4" w:rsidRPr="00674129">
        <w:rPr>
          <w:rFonts w:eastAsia="Calibri"/>
        </w:rPr>
        <w:t xml:space="preserve">in </w:t>
      </w:r>
      <w:r w:rsidR="00DA04C4" w:rsidRPr="001A2DCA">
        <w:rPr>
          <w:rFonts w:eastAsia="Calibri"/>
        </w:rPr>
        <w:t>1979</w:t>
      </w:r>
      <w:r w:rsidR="002C0BFB" w:rsidRPr="002813C4">
        <w:rPr>
          <w:rFonts w:eastAsia="Calibri"/>
        </w:rPr>
        <w:t xml:space="preserve"> the Legislature passed Senate Bill 86, commonly referred to as the “Roberti Act” (herein, as may be amended from time to time, the “</w:t>
      </w:r>
      <w:r w:rsidR="002C0BFB" w:rsidRPr="002813C4">
        <w:rPr>
          <w:rFonts w:eastAsia="Calibri"/>
          <w:b/>
          <w:i/>
        </w:rPr>
        <w:t>Act</w:t>
      </w:r>
      <w:r w:rsidR="002C0BFB" w:rsidRPr="002813C4">
        <w:rPr>
          <w:rFonts w:eastAsia="Calibri"/>
        </w:rPr>
        <w:t>”) which added, in part, Sections 54235 through</w:t>
      </w:r>
      <w:r w:rsidR="00BC2890">
        <w:rPr>
          <w:rFonts w:eastAsia="Calibri"/>
        </w:rPr>
        <w:t xml:space="preserve"> </w:t>
      </w:r>
      <w:r w:rsidR="0049372E" w:rsidRPr="00BC2890">
        <w:rPr>
          <w:rFonts w:eastAsia="Calibri"/>
        </w:rPr>
        <w:t>54239.5</w:t>
      </w:r>
      <w:r w:rsidR="002C0BFB" w:rsidRPr="002813C4">
        <w:rPr>
          <w:rFonts w:eastAsia="Calibri"/>
        </w:rPr>
        <w:t xml:space="preserve"> to the California Government Code wherein the Legislature found and declared that the sale of certain surplus residential properties by </w:t>
      </w:r>
      <w:r w:rsidR="00E81555">
        <w:rPr>
          <w:rFonts w:eastAsia="Calibri"/>
        </w:rPr>
        <w:t>Caltrans</w:t>
      </w:r>
      <w:r w:rsidR="000A283D">
        <w:rPr>
          <w:rFonts w:eastAsia="Calibri"/>
        </w:rPr>
        <w:t xml:space="preserve"> </w:t>
      </w:r>
      <w:r w:rsidR="002C0BFB" w:rsidRPr="002813C4">
        <w:rPr>
          <w:rFonts w:eastAsia="Calibri"/>
        </w:rPr>
        <w:t>would directly serve an important public purpose</w:t>
      </w:r>
      <w:r w:rsidR="00BC2890">
        <w:rPr>
          <w:rFonts w:eastAsia="Calibri"/>
        </w:rPr>
        <w:t>.</w:t>
      </w:r>
      <w:r w:rsidR="00E81555">
        <w:rPr>
          <w:rFonts w:eastAsia="Calibri"/>
        </w:rPr>
        <w:t xml:space="preserve"> </w:t>
      </w:r>
      <w:r w:rsidR="0049372E">
        <w:rPr>
          <w:rFonts w:eastAsia="Calibri"/>
        </w:rPr>
        <w:t xml:space="preserve"> </w:t>
      </w:r>
      <w:r w:rsidR="00E81555">
        <w:rPr>
          <w:rFonts w:eastAsia="Calibri"/>
        </w:rPr>
        <w:t xml:space="preserve">Caltrans, pursuant to the Act, is selling the Property to the </w:t>
      </w:r>
      <w:r w:rsidR="006C4834">
        <w:rPr>
          <w:rFonts w:eastAsia="Calibri"/>
        </w:rPr>
        <w:t>City</w:t>
      </w:r>
      <w:r w:rsidR="00E81555">
        <w:rPr>
          <w:rFonts w:eastAsia="Calibri"/>
        </w:rPr>
        <w:t>, subject to the provisions of this document;</w:t>
      </w:r>
      <w:r w:rsidR="002C0BFB" w:rsidRPr="002813C4">
        <w:rPr>
          <w:rFonts w:eastAsia="Calibri"/>
        </w:rPr>
        <w:t xml:space="preserve"> </w:t>
      </w:r>
    </w:p>
    <w:p w14:paraId="3FDAA5D5" w14:textId="77777777" w:rsidR="00E4707B" w:rsidRDefault="00E4707B" w:rsidP="00A14517">
      <w:pPr>
        <w:spacing w:after="200" w:line="276" w:lineRule="auto"/>
        <w:contextualSpacing/>
        <w:rPr>
          <w:rFonts w:eastAsia="Calibri"/>
        </w:rPr>
      </w:pPr>
    </w:p>
    <w:p w14:paraId="4218B911" w14:textId="51848B17" w:rsidR="006F6DEE" w:rsidRDefault="00AB557A" w:rsidP="001A4ECC">
      <w:pPr>
        <w:spacing w:after="200" w:line="276" w:lineRule="auto"/>
        <w:rPr>
          <w:rFonts w:eastAsia="Calibri"/>
        </w:rPr>
      </w:pPr>
      <w:r w:rsidRPr="00D215DA">
        <w:rPr>
          <w:rFonts w:eastAsia="Calibri"/>
          <w:b/>
        </w:rPr>
        <w:t>B.</w:t>
      </w:r>
      <w:r w:rsidRPr="00D215DA">
        <w:rPr>
          <w:rFonts w:eastAsia="Calibri"/>
          <w:b/>
        </w:rPr>
        <w:tab/>
      </w:r>
      <w:r w:rsidR="00DA04C4" w:rsidRPr="002813C4">
        <w:rPr>
          <w:rFonts w:eastAsia="Calibri"/>
          <w:b/>
        </w:rPr>
        <w:t>WHEREAS</w:t>
      </w:r>
      <w:r w:rsidR="00DA04C4" w:rsidRPr="00650DDE">
        <w:rPr>
          <w:rFonts w:eastAsia="Calibri"/>
        </w:rPr>
        <w:t>, in</w:t>
      </w:r>
      <w:r w:rsidR="00D84F9D" w:rsidRPr="00650DDE">
        <w:rPr>
          <w:rFonts w:eastAsia="Calibri"/>
        </w:rPr>
        <w:t xml:space="preserve"> </w:t>
      </w:r>
      <w:r w:rsidR="002C0BFB" w:rsidRPr="002813C4">
        <w:rPr>
          <w:rFonts w:eastAsia="Calibri"/>
        </w:rPr>
        <w:t xml:space="preserve">accordance with the Act, </w:t>
      </w:r>
      <w:r w:rsidR="003019EF">
        <w:rPr>
          <w:rFonts w:eastAsia="Calibri"/>
        </w:rPr>
        <w:t>Caltrans</w:t>
      </w:r>
      <w:r w:rsidR="002C0BFB" w:rsidRPr="002813C4">
        <w:rPr>
          <w:rFonts w:eastAsia="Calibri"/>
        </w:rPr>
        <w:t xml:space="preserve"> has developed a program as more particularly set forth in Chapter 9.5, Division 2 of Title 21 of the California Code of Regulations </w:t>
      </w:r>
      <w:r w:rsidR="002C0BFB" w:rsidRPr="002813C4">
        <w:rPr>
          <w:rFonts w:eastAsia="Calibri"/>
        </w:rPr>
        <w:lastRenderedPageBreak/>
        <w:t>(herein, the “</w:t>
      </w:r>
      <w:r w:rsidR="002C0BFB" w:rsidRPr="002813C4">
        <w:rPr>
          <w:rFonts w:eastAsia="Calibri"/>
          <w:b/>
          <w:i/>
        </w:rPr>
        <w:t>Regulations</w:t>
      </w:r>
      <w:r w:rsidR="002C0BFB" w:rsidRPr="002813C4">
        <w:rPr>
          <w:rFonts w:eastAsia="Calibri"/>
        </w:rPr>
        <w:t xml:space="preserve">”) to </w:t>
      </w:r>
      <w:r w:rsidR="00845E40" w:rsidRPr="000332C2">
        <w:rPr>
          <w:rFonts w:eastAsia="Calibri"/>
        </w:rPr>
        <w:t xml:space="preserve">make certain </w:t>
      </w:r>
      <w:r w:rsidR="0049372E" w:rsidRPr="00BC2890">
        <w:rPr>
          <w:rFonts w:eastAsia="Calibri"/>
        </w:rPr>
        <w:t>unoccupied surplus residential properties in Pasadena available for sale pursuant to Government Code section 54239.5(b)</w:t>
      </w:r>
      <w:r w:rsidR="002C0BFB" w:rsidRPr="000332C2">
        <w:rPr>
          <w:rFonts w:eastAsia="Calibri"/>
        </w:rPr>
        <w:t>;</w:t>
      </w:r>
    </w:p>
    <w:p w14:paraId="3C807266" w14:textId="6FE4B75B" w:rsidR="00C21DB1" w:rsidRPr="002813C4" w:rsidRDefault="00891053" w:rsidP="00AB557A">
      <w:pPr>
        <w:spacing w:after="200" w:line="276" w:lineRule="auto"/>
        <w:rPr>
          <w:rFonts w:eastAsia="Calibri"/>
        </w:rPr>
      </w:pPr>
      <w:r>
        <w:rPr>
          <w:rFonts w:eastAsia="Calibri"/>
          <w:b/>
        </w:rPr>
        <w:t>C</w:t>
      </w:r>
      <w:r w:rsidR="001A4ECC">
        <w:rPr>
          <w:rFonts w:eastAsia="Calibri"/>
          <w:b/>
        </w:rPr>
        <w:t>.</w:t>
      </w:r>
      <w:r w:rsidR="001A4ECC">
        <w:rPr>
          <w:rFonts w:eastAsia="Calibri"/>
          <w:b/>
        </w:rPr>
        <w:tab/>
      </w:r>
      <w:r w:rsidR="00D13EC4" w:rsidRPr="008B2D32">
        <w:rPr>
          <w:rFonts w:eastAsia="Calibri"/>
          <w:b/>
        </w:rPr>
        <w:t>WHEREAS</w:t>
      </w:r>
      <w:r w:rsidR="00D13EC4">
        <w:rPr>
          <w:rFonts w:eastAsia="Calibri"/>
        </w:rPr>
        <w:t xml:space="preserve">, Caltrans </w:t>
      </w:r>
      <w:r w:rsidR="009A6E41" w:rsidRPr="00D13EC4">
        <w:rPr>
          <w:rFonts w:eastAsia="Calibri"/>
        </w:rPr>
        <w:t>has</w:t>
      </w:r>
      <w:r w:rsidR="009A6E41">
        <w:rPr>
          <w:rFonts w:eastAsia="Calibri"/>
        </w:rPr>
        <w:t xml:space="preserve"> identified </w:t>
      </w:r>
      <w:r w:rsidR="006C4834">
        <w:rPr>
          <w:rFonts w:eastAsia="Calibri"/>
        </w:rPr>
        <w:t>City</w:t>
      </w:r>
      <w:r w:rsidR="009A6E41">
        <w:rPr>
          <w:rFonts w:eastAsia="Calibri"/>
        </w:rPr>
        <w:t xml:space="preserve"> as being eligible to purchase the Property at</w:t>
      </w:r>
      <w:r w:rsidR="00845E40">
        <w:rPr>
          <w:rFonts w:eastAsia="Calibri"/>
        </w:rPr>
        <w:t xml:space="preserve"> </w:t>
      </w:r>
      <w:r w:rsidR="006C4834">
        <w:rPr>
          <w:rFonts w:eastAsia="Calibri"/>
        </w:rPr>
        <w:t xml:space="preserve">Caltrans’ original acquisition </w:t>
      </w:r>
      <w:r w:rsidR="00845E40">
        <w:rPr>
          <w:rFonts w:eastAsia="Calibri"/>
        </w:rPr>
        <w:t>price</w:t>
      </w:r>
      <w:r w:rsidR="009A6E41">
        <w:rPr>
          <w:rFonts w:eastAsia="Calibri"/>
        </w:rPr>
        <w:t xml:space="preserve"> in accordance with the Act</w:t>
      </w:r>
      <w:r w:rsidR="00845E40">
        <w:rPr>
          <w:rFonts w:eastAsia="Calibri"/>
        </w:rPr>
        <w:t>;</w:t>
      </w:r>
      <w:r w:rsidR="009A6E41">
        <w:rPr>
          <w:rFonts w:eastAsia="Calibri"/>
        </w:rPr>
        <w:t xml:space="preserve"> </w:t>
      </w:r>
    </w:p>
    <w:p w14:paraId="26B19271" w14:textId="267A14E1" w:rsidR="002C0BFB" w:rsidRDefault="00891053" w:rsidP="00AB557A">
      <w:pPr>
        <w:spacing w:after="200" w:line="276" w:lineRule="auto"/>
        <w:rPr>
          <w:rFonts w:eastAsia="Calibri"/>
        </w:rPr>
      </w:pPr>
      <w:r>
        <w:rPr>
          <w:rFonts w:eastAsia="Calibri"/>
          <w:b/>
        </w:rPr>
        <w:t>D</w:t>
      </w:r>
      <w:r w:rsidR="001A4ECC">
        <w:rPr>
          <w:rFonts w:eastAsia="Calibri"/>
          <w:b/>
        </w:rPr>
        <w:t>.</w:t>
      </w:r>
      <w:r w:rsidR="00AB557A">
        <w:rPr>
          <w:rFonts w:eastAsia="Calibri"/>
          <w:b/>
        </w:rPr>
        <w:tab/>
      </w:r>
      <w:r w:rsidR="00DA04C4" w:rsidRPr="002813C4">
        <w:rPr>
          <w:rFonts w:eastAsia="Calibri"/>
          <w:b/>
        </w:rPr>
        <w:t>WHEREAS</w:t>
      </w:r>
      <w:r w:rsidR="00DA04C4">
        <w:rPr>
          <w:rFonts w:eastAsia="Calibri"/>
        </w:rPr>
        <w:t>, to</w:t>
      </w:r>
      <w:r w:rsidR="00542A01">
        <w:rPr>
          <w:rFonts w:eastAsia="Calibri"/>
        </w:rPr>
        <w:t xml:space="preserve"> effectuate the sale of the Property to </w:t>
      </w:r>
      <w:r w:rsidR="006C4834">
        <w:rPr>
          <w:rFonts w:eastAsia="Calibri"/>
        </w:rPr>
        <w:t>City</w:t>
      </w:r>
      <w:r w:rsidR="00542A01">
        <w:rPr>
          <w:rFonts w:eastAsia="Calibri"/>
        </w:rPr>
        <w:t xml:space="preserve">, </w:t>
      </w:r>
      <w:r w:rsidR="006C4834">
        <w:rPr>
          <w:rFonts w:eastAsia="Calibri"/>
        </w:rPr>
        <w:t>City</w:t>
      </w:r>
      <w:r w:rsidR="003212E7">
        <w:rPr>
          <w:rFonts w:eastAsia="Calibri"/>
        </w:rPr>
        <w:t xml:space="preserve"> </w:t>
      </w:r>
      <w:r w:rsidR="00542A01">
        <w:rPr>
          <w:rFonts w:eastAsia="Calibri"/>
        </w:rPr>
        <w:t>has agreed to use and resale controls</w:t>
      </w:r>
      <w:r w:rsidR="003212E7">
        <w:rPr>
          <w:rFonts w:eastAsia="Calibri"/>
        </w:rPr>
        <w:t xml:space="preserve"> in accordance with the Act and</w:t>
      </w:r>
      <w:r w:rsidR="00542A01">
        <w:rPr>
          <w:rFonts w:eastAsia="Calibri"/>
        </w:rPr>
        <w:t xml:space="preserve"> evidenced by this </w:t>
      </w:r>
      <w:r w:rsidR="00650DDE">
        <w:rPr>
          <w:rFonts w:eastAsia="Calibri"/>
        </w:rPr>
        <w:t>Use and Resale Covenant</w:t>
      </w:r>
      <w:r w:rsidR="00542A01">
        <w:rPr>
          <w:rFonts w:eastAsia="Calibri"/>
        </w:rPr>
        <w:t xml:space="preserve">; </w:t>
      </w:r>
      <w:r w:rsidR="00AB557A">
        <w:rPr>
          <w:rFonts w:eastAsia="Calibri"/>
        </w:rPr>
        <w:t>and</w:t>
      </w:r>
    </w:p>
    <w:p w14:paraId="054BB54C" w14:textId="25C948A2" w:rsidR="006F6DEE" w:rsidRDefault="00891053" w:rsidP="001A4ECC">
      <w:pPr>
        <w:spacing w:after="200" w:line="276" w:lineRule="auto"/>
        <w:rPr>
          <w:rFonts w:eastAsia="Calibri"/>
        </w:rPr>
      </w:pPr>
      <w:r>
        <w:rPr>
          <w:rFonts w:eastAsia="Calibri"/>
          <w:b/>
        </w:rPr>
        <w:t>E</w:t>
      </w:r>
      <w:r w:rsidR="00AB557A">
        <w:rPr>
          <w:rFonts w:eastAsia="Calibri"/>
          <w:b/>
        </w:rPr>
        <w:t>.</w:t>
      </w:r>
      <w:r w:rsidR="00AB557A">
        <w:rPr>
          <w:rFonts w:eastAsia="Calibri"/>
          <w:b/>
        </w:rPr>
        <w:tab/>
      </w:r>
      <w:r w:rsidR="006F6DEE" w:rsidRPr="00650DDE">
        <w:rPr>
          <w:rFonts w:eastAsia="Calibri"/>
          <w:b/>
        </w:rPr>
        <w:t>WHEREAS</w:t>
      </w:r>
      <w:r w:rsidR="006F6DEE" w:rsidRPr="00674129">
        <w:rPr>
          <w:rFonts w:eastAsia="Calibri"/>
        </w:rPr>
        <w:t xml:space="preserve">, </w:t>
      </w:r>
      <w:r w:rsidR="00D342EE">
        <w:rPr>
          <w:rFonts w:eastAsia="Calibri"/>
        </w:rPr>
        <w:t>Caltrans</w:t>
      </w:r>
      <w:r w:rsidR="006F6DEE">
        <w:rPr>
          <w:rFonts w:eastAsia="Calibri"/>
        </w:rPr>
        <w:t xml:space="preserve"> has </w:t>
      </w:r>
      <w:r w:rsidR="004642C1">
        <w:rPr>
          <w:rFonts w:eastAsia="Calibri"/>
        </w:rPr>
        <w:t xml:space="preserve">determined the Property is “excess </w:t>
      </w:r>
      <w:r w:rsidR="002A2D9B">
        <w:rPr>
          <w:rFonts w:eastAsia="Calibri"/>
        </w:rPr>
        <w:t xml:space="preserve">real </w:t>
      </w:r>
      <w:r w:rsidR="004642C1">
        <w:rPr>
          <w:rFonts w:eastAsia="Calibri"/>
        </w:rPr>
        <w:t>property” within the meaning of Streets and Highways Code Section 118</w:t>
      </w:r>
      <w:r w:rsidR="002A2D9B">
        <w:rPr>
          <w:rFonts w:eastAsia="Calibri"/>
        </w:rPr>
        <w:t>.6</w:t>
      </w:r>
      <w:r w:rsidR="004642C1">
        <w:rPr>
          <w:rFonts w:eastAsia="Calibri"/>
        </w:rPr>
        <w:t xml:space="preserve"> and approved the sale; </w:t>
      </w:r>
    </w:p>
    <w:p w14:paraId="1E861314" w14:textId="65D4C7A4" w:rsidR="00DA6105" w:rsidRDefault="0059706E">
      <w:r>
        <w:rPr>
          <w:b/>
        </w:rPr>
        <w:tab/>
      </w:r>
      <w:r w:rsidR="00DF71F9" w:rsidRPr="002813C4">
        <w:rPr>
          <w:b/>
        </w:rPr>
        <w:t>NOW, THEREFORE,</w:t>
      </w:r>
      <w:r w:rsidR="00DF71F9">
        <w:t xml:space="preserve"> in consideration of the substantial economic benefits inuring to </w:t>
      </w:r>
      <w:r w:rsidR="006C4834">
        <w:t>City</w:t>
      </w:r>
      <w:r w:rsidR="00DF71F9">
        <w:t xml:space="preserve"> and the public purposes to be achieved under the </w:t>
      </w:r>
      <w:r w:rsidR="00F30B52">
        <w:t>Act</w:t>
      </w:r>
      <w:r w:rsidR="00DF71F9">
        <w:t xml:space="preserve">, </w:t>
      </w:r>
      <w:r w:rsidR="006C4834">
        <w:t>City</w:t>
      </w:r>
      <w:r w:rsidR="00922791">
        <w:t xml:space="preserve">, Caltrans, </w:t>
      </w:r>
      <w:r w:rsidR="001364EA">
        <w:t xml:space="preserve">and </w:t>
      </w:r>
      <w:r w:rsidR="00845E40">
        <w:t>the Monitoring Entity</w:t>
      </w:r>
      <w:r w:rsidR="00DF71F9">
        <w:t xml:space="preserve"> </w:t>
      </w:r>
      <w:r w:rsidR="00F45041">
        <w:t xml:space="preserve">hereby declare and </w:t>
      </w:r>
      <w:r w:rsidR="00DF71F9">
        <w:t>agree as follows:</w:t>
      </w:r>
    </w:p>
    <w:p w14:paraId="1896B9F7" w14:textId="77777777" w:rsidR="00DA6105" w:rsidRDefault="00DA6105"/>
    <w:p w14:paraId="6968E815" w14:textId="77777777" w:rsidR="008E668F" w:rsidRDefault="00DA6105" w:rsidP="00891053">
      <w:pPr>
        <w:rPr>
          <w:b/>
        </w:rPr>
      </w:pPr>
      <w:r w:rsidRPr="00650DDE">
        <w:rPr>
          <w:b/>
        </w:rPr>
        <w:t>Section 1.</w:t>
      </w:r>
      <w:r w:rsidRPr="00650DDE">
        <w:rPr>
          <w:b/>
        </w:rPr>
        <w:tab/>
      </w:r>
      <w:r w:rsidR="008E668F">
        <w:rPr>
          <w:b/>
        </w:rPr>
        <w:t>Extraordinary Provisions.</w:t>
      </w:r>
    </w:p>
    <w:p w14:paraId="789C6609" w14:textId="77777777" w:rsidR="008E668F" w:rsidRDefault="008E668F" w:rsidP="001F106F">
      <w:pPr>
        <w:ind w:firstLine="720"/>
        <w:rPr>
          <w:b/>
        </w:rPr>
      </w:pPr>
    </w:p>
    <w:p w14:paraId="23036381" w14:textId="3C6A7291" w:rsidR="00E857BB" w:rsidRPr="00BC2890" w:rsidRDefault="008E668F" w:rsidP="006D5A2B">
      <w:r>
        <w:rPr>
          <w:b/>
          <w:bCs/>
        </w:rPr>
        <w:t>1.1</w:t>
      </w:r>
      <w:r>
        <w:rPr>
          <w:b/>
          <w:bCs/>
        </w:rPr>
        <w:tab/>
      </w:r>
      <w:r w:rsidR="003212E7">
        <w:rPr>
          <w:b/>
          <w:bCs/>
        </w:rPr>
        <w:t>Purchase</w:t>
      </w:r>
      <w:r w:rsidR="00B111AB">
        <w:rPr>
          <w:b/>
          <w:bCs/>
        </w:rPr>
        <w:t xml:space="preserve"> </w:t>
      </w:r>
      <w:r>
        <w:rPr>
          <w:b/>
          <w:bCs/>
        </w:rPr>
        <w:t xml:space="preserve">Price.  </w:t>
      </w:r>
      <w:r w:rsidR="00AA117F">
        <w:t xml:space="preserve">Caltrans and </w:t>
      </w:r>
      <w:r w:rsidR="006C4834">
        <w:t>City</w:t>
      </w:r>
      <w:r w:rsidR="00AA117F">
        <w:t xml:space="preserve"> agree that </w:t>
      </w:r>
      <w:r w:rsidR="006C4834">
        <w:t>City</w:t>
      </w:r>
      <w:r w:rsidR="00AA117F">
        <w:t xml:space="preserve">’s purchase price for the Property is </w:t>
      </w:r>
      <w:r w:rsidR="006C4834">
        <w:t>Caltrans’ original acquisition price</w:t>
      </w:r>
      <w:r w:rsidR="00064AA3">
        <w:t>.</w:t>
      </w:r>
      <w:r w:rsidR="00AA117F">
        <w:t xml:space="preserve"> Caltrans and </w:t>
      </w:r>
      <w:r w:rsidR="006C4834">
        <w:t>City</w:t>
      </w:r>
      <w:r w:rsidR="00AA117F">
        <w:t xml:space="preserve"> further agree that </w:t>
      </w:r>
      <w:r w:rsidR="006C4834">
        <w:t>City</w:t>
      </w:r>
      <w:r w:rsidR="00AA117F">
        <w:t xml:space="preserve">’s purchase price complies with Government Code section </w:t>
      </w:r>
      <w:r w:rsidR="00D35323">
        <w:t>54239.</w:t>
      </w:r>
      <w:r w:rsidR="00D85D65">
        <w:t>5</w:t>
      </w:r>
      <w:r w:rsidR="00AA117F">
        <w:t>, subdivision (</w:t>
      </w:r>
      <w:r w:rsidR="00D35323">
        <w:t>b</w:t>
      </w:r>
      <w:r w:rsidR="00AA117F">
        <w:t>)</w:t>
      </w:r>
      <w:r w:rsidR="00D35323">
        <w:t>(1)</w:t>
      </w:r>
      <w:r w:rsidR="004C6F75" w:rsidRPr="0049372E">
        <w:t xml:space="preserve"> </w:t>
      </w:r>
      <w:r w:rsidR="004C6F75" w:rsidRPr="00BC2890">
        <w:t>as set forth in the Purchase and Sale Agreement between the parties</w:t>
      </w:r>
      <w:r w:rsidR="00AA117F" w:rsidRPr="00BC2890">
        <w:t>.</w:t>
      </w:r>
      <w:r w:rsidR="004C6F75" w:rsidRPr="00BC2890">
        <w:t xml:space="preserve"> </w:t>
      </w:r>
    </w:p>
    <w:p w14:paraId="4F90B4B7" w14:textId="77777777" w:rsidR="008E668F" w:rsidRDefault="008E668F">
      <w:pPr>
        <w:rPr>
          <w:b/>
        </w:rPr>
      </w:pPr>
    </w:p>
    <w:p w14:paraId="7D71B614" w14:textId="46D9F428" w:rsidR="004B492F" w:rsidRDefault="008E668F">
      <w:pPr>
        <w:rPr>
          <w:b/>
        </w:rPr>
      </w:pPr>
      <w:r>
        <w:rPr>
          <w:b/>
        </w:rPr>
        <w:t>1.2</w:t>
      </w:r>
      <w:r>
        <w:rPr>
          <w:b/>
        </w:rPr>
        <w:tab/>
      </w:r>
      <w:r w:rsidR="006C4834">
        <w:rPr>
          <w:b/>
        </w:rPr>
        <w:t>City</w:t>
      </w:r>
      <w:r>
        <w:rPr>
          <w:b/>
        </w:rPr>
        <w:t xml:space="preserve"> Acknowledgment</w:t>
      </w:r>
      <w:r w:rsidR="00A9035D">
        <w:rPr>
          <w:b/>
        </w:rPr>
        <w:t>s</w:t>
      </w:r>
      <w:r>
        <w:rPr>
          <w:b/>
        </w:rPr>
        <w:t>.</w:t>
      </w:r>
      <w:r>
        <w:rPr>
          <w:b/>
        </w:rPr>
        <w:tab/>
      </w:r>
    </w:p>
    <w:p w14:paraId="0E632929" w14:textId="77777777" w:rsidR="004B492F" w:rsidRDefault="004B492F">
      <w:pPr>
        <w:rPr>
          <w:b/>
        </w:rPr>
      </w:pPr>
    </w:p>
    <w:p w14:paraId="0D2EC22B" w14:textId="15252567" w:rsidR="008E668F" w:rsidRPr="006D5A2B" w:rsidRDefault="006C4834" w:rsidP="006D5A2B">
      <w:pPr>
        <w:pStyle w:val="ListParagraph"/>
        <w:numPr>
          <w:ilvl w:val="0"/>
          <w:numId w:val="11"/>
        </w:numPr>
        <w:rPr>
          <w:b/>
        </w:rPr>
      </w:pPr>
      <w:r>
        <w:t>City</w:t>
      </w:r>
      <w:r w:rsidR="008E668F">
        <w:t xml:space="preserve"> understands</w:t>
      </w:r>
      <w:r w:rsidR="00922791">
        <w:t xml:space="preserve"> and agrees to abide by</w:t>
      </w:r>
      <w:r w:rsidR="008E668F">
        <w:t xml:space="preserve"> all the provisions of this Use and Resale Covenant.</w:t>
      </w:r>
    </w:p>
    <w:p w14:paraId="075F7F5F" w14:textId="77777777" w:rsidR="00675DB0" w:rsidRDefault="00675DB0"/>
    <w:p w14:paraId="67D1D877" w14:textId="0AD4E662" w:rsidR="008E668F" w:rsidRDefault="006C4834" w:rsidP="006D5A2B">
      <w:pPr>
        <w:pStyle w:val="ListParagraph"/>
        <w:numPr>
          <w:ilvl w:val="0"/>
          <w:numId w:val="11"/>
        </w:numPr>
      </w:pPr>
      <w:r>
        <w:t>City</w:t>
      </w:r>
      <w:r w:rsidR="008E668F">
        <w:t xml:space="preserve"> hereby </w:t>
      </w:r>
      <w:r w:rsidR="003019EF">
        <w:t>takes</w:t>
      </w:r>
      <w:r w:rsidR="008E668F">
        <w:t xml:space="preserve"> the Property</w:t>
      </w:r>
      <w:r w:rsidR="003019EF">
        <w:t xml:space="preserve"> subject</w:t>
      </w:r>
      <w:r w:rsidR="008E668F">
        <w:t xml:space="preserve"> to certain restrictions and limit</w:t>
      </w:r>
      <w:r w:rsidR="00A9035D">
        <w:t>ations of the full enjoyment and use of the Property</w:t>
      </w:r>
      <w:r w:rsidR="00922791">
        <w:t xml:space="preserve"> as set forth in this Use and Resale Covenant</w:t>
      </w:r>
      <w:r w:rsidR="00A9035D">
        <w:t>.</w:t>
      </w:r>
      <w:r w:rsidR="008E668F">
        <w:t xml:space="preserve"> </w:t>
      </w:r>
      <w:r>
        <w:t>City</w:t>
      </w:r>
      <w:r w:rsidR="008E668F">
        <w:t xml:space="preserve"> </w:t>
      </w:r>
      <w:r w:rsidR="00891053">
        <w:t xml:space="preserve">acknowledges that </w:t>
      </w:r>
      <w:r>
        <w:t>City</w:t>
      </w:r>
      <w:r w:rsidR="00891053">
        <w:t xml:space="preserve"> </w:t>
      </w:r>
      <w:r w:rsidR="008E668F">
        <w:t xml:space="preserve">may not enjoy the same economic benefits from owning the Property that </w:t>
      </w:r>
      <w:r>
        <w:t>City</w:t>
      </w:r>
      <w:r w:rsidR="008E668F">
        <w:t xml:space="preserve"> would enjoy if this Use and Resale Covenant did not exist.</w:t>
      </w:r>
    </w:p>
    <w:p w14:paraId="786A336E" w14:textId="77777777" w:rsidR="008E668F" w:rsidRDefault="008E668F"/>
    <w:p w14:paraId="53D5C40A" w14:textId="7E6BD6F6" w:rsidR="008E668F" w:rsidRDefault="008E668F" w:rsidP="00AE1F98">
      <w:pPr>
        <w:pStyle w:val="ListParagraph"/>
        <w:numPr>
          <w:ilvl w:val="0"/>
          <w:numId w:val="11"/>
        </w:numPr>
      </w:pPr>
      <w:r>
        <w:t xml:space="preserve">Absent the assistance provided by </w:t>
      </w:r>
      <w:r w:rsidR="003019EF">
        <w:t>Caltrans</w:t>
      </w:r>
      <w:r w:rsidR="000D7FA2">
        <w:t xml:space="preserve"> and</w:t>
      </w:r>
      <w:r>
        <w:t xml:space="preserve"> the provisions of this Use and Resale Covenant, the Property could not be made available </w:t>
      </w:r>
      <w:r w:rsidR="00D35323">
        <w:t xml:space="preserve">to </w:t>
      </w:r>
      <w:r w:rsidR="006C4834">
        <w:t>City</w:t>
      </w:r>
      <w:r w:rsidR="00D35323">
        <w:t xml:space="preserve">. </w:t>
      </w:r>
    </w:p>
    <w:p w14:paraId="4C57AC57" w14:textId="77777777" w:rsidR="00D35323" w:rsidRDefault="00D35323" w:rsidP="00D35323">
      <w:pPr>
        <w:pStyle w:val="ListParagraph"/>
      </w:pPr>
    </w:p>
    <w:p w14:paraId="4ACEA047" w14:textId="03DD7E1E" w:rsidR="008E668F" w:rsidRDefault="008E668F" w:rsidP="006D5A2B">
      <w:pPr>
        <w:pStyle w:val="ListParagraph"/>
        <w:numPr>
          <w:ilvl w:val="0"/>
          <w:numId w:val="11"/>
        </w:numPr>
      </w:pPr>
      <w:r>
        <w:t xml:space="preserve">In recognition of the acknowledgements and agreements stated herein, </w:t>
      </w:r>
      <w:r w:rsidR="006C4834">
        <w:t>City</w:t>
      </w:r>
      <w:r>
        <w:t xml:space="preserve"> accepts and agrees to the provisions of this Use and Resale Covenant with the understanding that this Use and Resale Covenant will remain in full force and effect </w:t>
      </w:r>
      <w:r w:rsidR="00922791">
        <w:t>to limit</w:t>
      </w:r>
      <w:r w:rsidR="00B95ADF">
        <w:t xml:space="preserve"> </w:t>
      </w:r>
      <w:r w:rsidR="00B95ADF" w:rsidRPr="00BC2890">
        <w:t>the</w:t>
      </w:r>
      <w:r w:rsidR="00922791">
        <w:t xml:space="preserve"> use and transfer </w:t>
      </w:r>
      <w:r>
        <w:t xml:space="preserve">of the Property </w:t>
      </w:r>
      <w:r w:rsidR="00A46440">
        <w:t>unless</w:t>
      </w:r>
      <w:r>
        <w:t xml:space="preserve"> terminated pursuant to the terms herein.</w:t>
      </w:r>
    </w:p>
    <w:p w14:paraId="20E36712" w14:textId="7EAC6941" w:rsidR="00874B49" w:rsidRDefault="00874B49"/>
    <w:p w14:paraId="73E7AC2A" w14:textId="72E76EAB" w:rsidR="008E668F" w:rsidRPr="0049372E" w:rsidRDefault="006C4834" w:rsidP="0049372E">
      <w:pPr>
        <w:pStyle w:val="ListParagraph"/>
        <w:numPr>
          <w:ilvl w:val="0"/>
          <w:numId w:val="11"/>
        </w:numPr>
        <w:rPr>
          <w:b/>
        </w:rPr>
      </w:pPr>
      <w:r>
        <w:rPr>
          <w:bCs/>
        </w:rPr>
        <w:t>City</w:t>
      </w:r>
      <w:r w:rsidR="00874B49" w:rsidRPr="006D5A2B">
        <w:rPr>
          <w:bCs/>
        </w:rPr>
        <w:t xml:space="preserve"> covenants and agrees for itself, its successors, its assigns, and every successor interest in the Property or any part thereof, that </w:t>
      </w:r>
      <w:r>
        <w:rPr>
          <w:bCs/>
        </w:rPr>
        <w:t>City</w:t>
      </w:r>
      <w:r w:rsidR="00874B49" w:rsidRPr="006D5A2B">
        <w:rPr>
          <w:bCs/>
        </w:rPr>
        <w:t>, such successors and such assignees, shall regularly and continuously use the Property only for the purposes authorized in this Use and Resale Covenant</w:t>
      </w:r>
      <w:r w:rsidR="005763CA">
        <w:rPr>
          <w:bCs/>
        </w:rPr>
        <w:t xml:space="preserve"> </w:t>
      </w:r>
      <w:r w:rsidR="005763CA" w:rsidRPr="00BC2890">
        <w:rPr>
          <w:bCs/>
        </w:rPr>
        <w:t>unless otherwise provided herein</w:t>
      </w:r>
      <w:r w:rsidR="00874B49" w:rsidRPr="006D5A2B">
        <w:rPr>
          <w:bCs/>
        </w:rPr>
        <w:t>.</w:t>
      </w:r>
    </w:p>
    <w:p w14:paraId="19C4C870" w14:textId="0C4525F8" w:rsidR="008E668F" w:rsidRDefault="006C4834" w:rsidP="006D5A2B">
      <w:pPr>
        <w:pStyle w:val="ListParagraph"/>
        <w:numPr>
          <w:ilvl w:val="0"/>
          <w:numId w:val="11"/>
        </w:numPr>
      </w:pPr>
      <w:r>
        <w:lastRenderedPageBreak/>
        <w:t>City</w:t>
      </w:r>
      <w:r w:rsidR="008E668F">
        <w:t xml:space="preserve"> further agrees not to challenge the terms and provisions of this Use and Resale Covenant or any right of </w:t>
      </w:r>
      <w:r w:rsidR="008A1D49">
        <w:t>Caltrans</w:t>
      </w:r>
      <w:r w:rsidR="00A46440">
        <w:t>,</w:t>
      </w:r>
      <w:r w:rsidR="008E668F">
        <w:t xml:space="preserve"> </w:t>
      </w:r>
      <w:r w:rsidR="00845E40">
        <w:t>or the Monitoring Entity</w:t>
      </w:r>
      <w:r w:rsidR="008E668F">
        <w:t xml:space="preserve"> </w:t>
      </w:r>
      <w:r w:rsidR="004C6F75" w:rsidRPr="00BC2890">
        <w:t>under this Use and Resale Covenant</w:t>
      </w:r>
      <w:r w:rsidR="0049372E" w:rsidRPr="00BC2890">
        <w:t xml:space="preserve"> </w:t>
      </w:r>
      <w:r w:rsidR="008E668F">
        <w:t xml:space="preserve">and acknowledges that the same are not an unreasonable restraint on any right to </w:t>
      </w:r>
      <w:r w:rsidR="0077203C">
        <w:t>t</w:t>
      </w:r>
      <w:r w:rsidR="008E668F">
        <w:t xml:space="preserve">ransfer the interest of the </w:t>
      </w:r>
      <w:r>
        <w:t>City</w:t>
      </w:r>
      <w:r w:rsidR="008E668F">
        <w:t xml:space="preserve"> in the Property.  </w:t>
      </w:r>
    </w:p>
    <w:p w14:paraId="28009A08" w14:textId="77777777" w:rsidR="006C4834" w:rsidRDefault="006C4834" w:rsidP="006C4834">
      <w:pPr>
        <w:pStyle w:val="ListParagraph"/>
      </w:pPr>
    </w:p>
    <w:p w14:paraId="4DD2819C" w14:textId="1EBCD810" w:rsidR="006C4834" w:rsidRDefault="006C4834" w:rsidP="006D5A2B">
      <w:pPr>
        <w:pStyle w:val="ListParagraph"/>
        <w:numPr>
          <w:ilvl w:val="0"/>
          <w:numId w:val="11"/>
        </w:numPr>
      </w:pPr>
      <w:r>
        <w:t>City acknowledges that Government Code section 54239.</w:t>
      </w:r>
      <w:r w:rsidR="00D85D65">
        <w:t>5</w:t>
      </w:r>
      <w:r>
        <w:t xml:space="preserve">, subdivision (b) imposes </w:t>
      </w:r>
      <w:r w:rsidR="00105B0E">
        <w:t xml:space="preserve">additional </w:t>
      </w:r>
      <w:r>
        <w:t xml:space="preserve">requirements upon City that are not reflected in this Use and Resale Covenant, and that </w:t>
      </w:r>
      <w:r w:rsidR="006771B3">
        <w:t xml:space="preserve">full </w:t>
      </w:r>
      <w:r>
        <w:t>compliance with this Use and Resale Covenant does not equate to full compliance with Government Code section 54239.</w:t>
      </w:r>
      <w:r w:rsidR="00D85D65">
        <w:t>5</w:t>
      </w:r>
      <w:r>
        <w:t>, subdivision (b).</w:t>
      </w:r>
    </w:p>
    <w:p w14:paraId="43614BEA" w14:textId="77777777" w:rsidR="00CA54F3" w:rsidRDefault="00CA54F3" w:rsidP="00CA54F3">
      <w:pPr>
        <w:pStyle w:val="ListParagraph"/>
      </w:pPr>
    </w:p>
    <w:p w14:paraId="2ABA3BDE" w14:textId="784929B5" w:rsidR="00CA54F3" w:rsidRDefault="00CA54F3" w:rsidP="006D5A2B">
      <w:pPr>
        <w:pStyle w:val="ListParagraph"/>
        <w:numPr>
          <w:ilvl w:val="0"/>
          <w:numId w:val="11"/>
        </w:numPr>
      </w:pPr>
      <w:r>
        <w:t>City acknowledges that Government Code section 54239.</w:t>
      </w:r>
      <w:r w:rsidR="00D85D65">
        <w:t>5</w:t>
      </w:r>
      <w:r>
        <w:t>, subdivision (b)(1</w:t>
      </w:r>
      <w:r w:rsidR="00D85D65">
        <w:t>5</w:t>
      </w:r>
      <w:r>
        <w:t>)</w:t>
      </w:r>
      <w:r w:rsidR="00833476">
        <w:t xml:space="preserve"> </w:t>
      </w:r>
      <w:r>
        <w:t xml:space="preserve">authorizes the Monitoring Entity to review, adopt, amend, and repeal standards, forms, or definitions to implement </w:t>
      </w:r>
      <w:r w:rsidR="008F2477">
        <w:t xml:space="preserve">Government Code </w:t>
      </w:r>
      <w:r>
        <w:t>section 54239.</w:t>
      </w:r>
      <w:r w:rsidR="00D85D65">
        <w:t>5</w:t>
      </w:r>
      <w:r>
        <w:t>, subdivisions (b)(</w:t>
      </w:r>
      <w:r w:rsidR="00D85D65">
        <w:t>3</w:t>
      </w:r>
      <w:r>
        <w:t>) through (</w:t>
      </w:r>
      <w:r w:rsidR="00D85D65">
        <w:t>14</w:t>
      </w:r>
      <w:r>
        <w:t xml:space="preserve">), </w:t>
      </w:r>
      <w:r w:rsidR="00CF5831">
        <w:t>inclusive.</w:t>
      </w:r>
      <w:r>
        <w:t xml:space="preserve"> </w:t>
      </w:r>
    </w:p>
    <w:p w14:paraId="2D4A29DC" w14:textId="77777777" w:rsidR="0036787F" w:rsidRDefault="0036787F"/>
    <w:p w14:paraId="1134A71B" w14:textId="77777777" w:rsidR="00DF71F9" w:rsidRPr="00650DDE" w:rsidRDefault="00406819" w:rsidP="001F106F">
      <w:pPr>
        <w:rPr>
          <w:b/>
          <w:bCs/>
        </w:rPr>
      </w:pPr>
      <w:r w:rsidDel="00406819">
        <w:rPr>
          <w:b/>
          <w:bCs/>
        </w:rPr>
        <w:t xml:space="preserve"> </w:t>
      </w:r>
      <w:r w:rsidR="00DF71F9" w:rsidRPr="00650DDE">
        <w:rPr>
          <w:b/>
          <w:bCs/>
        </w:rPr>
        <w:t xml:space="preserve">Section </w:t>
      </w:r>
      <w:r w:rsidR="0059706E" w:rsidRPr="00650DDE">
        <w:rPr>
          <w:b/>
          <w:bCs/>
        </w:rPr>
        <w:t>2</w:t>
      </w:r>
      <w:r w:rsidR="00DF71F9" w:rsidRPr="00650DDE">
        <w:rPr>
          <w:b/>
          <w:bCs/>
        </w:rPr>
        <w:t>.</w:t>
      </w:r>
      <w:r w:rsidR="00DF71F9" w:rsidRPr="00650DDE">
        <w:rPr>
          <w:b/>
          <w:bCs/>
        </w:rPr>
        <w:tab/>
        <w:t>Definitions.</w:t>
      </w:r>
    </w:p>
    <w:p w14:paraId="2BFB638B" w14:textId="77777777" w:rsidR="00DF71F9" w:rsidRPr="00650DDE" w:rsidRDefault="00DF71F9" w:rsidP="001F106F">
      <w:pPr>
        <w:rPr>
          <w:b/>
          <w:bCs/>
          <w:highlight w:val="yellow"/>
        </w:rPr>
      </w:pPr>
    </w:p>
    <w:p w14:paraId="66268FD4" w14:textId="77777777" w:rsidR="00DF71F9" w:rsidRPr="00246864" w:rsidRDefault="00DF71F9" w:rsidP="001B51EC">
      <w:pPr>
        <w:ind w:firstLine="720"/>
      </w:pPr>
      <w:r w:rsidRPr="00246864">
        <w:t xml:space="preserve">As used in this </w:t>
      </w:r>
      <w:r w:rsidR="00246864">
        <w:t>Use and Resale Covenant</w:t>
      </w:r>
      <w:r w:rsidRPr="00246864">
        <w:t>, the capitalized terms set forth below shall have the following meanings:</w:t>
      </w:r>
    </w:p>
    <w:p w14:paraId="3272F410" w14:textId="5E9704DF" w:rsidR="002C3D85" w:rsidRDefault="002C3D85" w:rsidP="00C92647"/>
    <w:p w14:paraId="1FC3A91E" w14:textId="127C9CF4" w:rsidR="00E33408" w:rsidRPr="00E33408" w:rsidRDefault="00C47834" w:rsidP="00E33408">
      <w:pPr>
        <w:pStyle w:val="ListParagraph"/>
        <w:numPr>
          <w:ilvl w:val="0"/>
          <w:numId w:val="22"/>
        </w:numPr>
      </w:pPr>
      <w:r>
        <w:t xml:space="preserve"> </w:t>
      </w:r>
      <w:r w:rsidR="00DF71F9" w:rsidRPr="00246864">
        <w:t>“</w:t>
      </w:r>
      <w:r w:rsidR="00DF71F9" w:rsidRPr="002C3D85">
        <w:rPr>
          <w:b/>
          <w:i/>
        </w:rPr>
        <w:t>Event</w:t>
      </w:r>
      <w:r w:rsidR="00DF71F9" w:rsidRPr="002C3D85">
        <w:rPr>
          <w:b/>
          <w:bCs/>
          <w:i/>
        </w:rPr>
        <w:t xml:space="preserve"> of Default</w:t>
      </w:r>
      <w:r w:rsidR="00DF71F9" w:rsidRPr="002C3D85">
        <w:rPr>
          <w:bCs/>
        </w:rPr>
        <w:t xml:space="preserve">” </w:t>
      </w:r>
      <w:r w:rsidR="004C00B2" w:rsidRPr="002C3D85">
        <w:rPr>
          <w:bCs/>
        </w:rPr>
        <w:t>is</w:t>
      </w:r>
      <w:r w:rsidR="00DF71F9" w:rsidRPr="002C3D85">
        <w:rPr>
          <w:bCs/>
        </w:rPr>
        <w:t xml:space="preserve"> defined in Section </w:t>
      </w:r>
      <w:r w:rsidR="00A04550">
        <w:rPr>
          <w:bCs/>
        </w:rPr>
        <w:t>6</w:t>
      </w:r>
      <w:r w:rsidR="00DF71F9" w:rsidRPr="002C3D85">
        <w:rPr>
          <w:bCs/>
        </w:rPr>
        <w:t>.1.</w:t>
      </w:r>
    </w:p>
    <w:p w14:paraId="4B3C6378" w14:textId="77777777" w:rsidR="00725A94" w:rsidRPr="00845E40" w:rsidRDefault="00725A94" w:rsidP="00845E40">
      <w:pPr>
        <w:rPr>
          <w:bCs/>
        </w:rPr>
      </w:pPr>
    </w:p>
    <w:p w14:paraId="0E656E55" w14:textId="1DA0C2A4" w:rsidR="00725A94" w:rsidRDefault="00765E10" w:rsidP="00725A94">
      <w:pPr>
        <w:pStyle w:val="ListParagraph"/>
        <w:numPr>
          <w:ilvl w:val="0"/>
          <w:numId w:val="22"/>
        </w:numPr>
      </w:pPr>
      <w:r w:rsidRPr="00725A94">
        <w:rPr>
          <w:b/>
          <w:bCs/>
          <w:i/>
          <w:iCs/>
        </w:rPr>
        <w:t xml:space="preserve">“Monitoring </w:t>
      </w:r>
      <w:r w:rsidR="00573A93" w:rsidRPr="00725A94">
        <w:rPr>
          <w:b/>
          <w:bCs/>
          <w:i/>
          <w:iCs/>
        </w:rPr>
        <w:t>Entity</w:t>
      </w:r>
      <w:r w:rsidRPr="00725A94">
        <w:rPr>
          <w:b/>
          <w:bCs/>
          <w:i/>
          <w:iCs/>
        </w:rPr>
        <w:t xml:space="preserve">” </w:t>
      </w:r>
      <w:r>
        <w:t xml:space="preserve">means </w:t>
      </w:r>
      <w:r w:rsidR="006C4834">
        <w:t>Department of Housing and Community Development</w:t>
      </w:r>
      <w:r>
        <w:t xml:space="preserve">. </w:t>
      </w:r>
    </w:p>
    <w:p w14:paraId="55CC94CE" w14:textId="77777777" w:rsidR="00725A94" w:rsidRPr="00725A94" w:rsidRDefault="00725A94" w:rsidP="00725A94">
      <w:pPr>
        <w:pStyle w:val="ListParagraph"/>
        <w:rPr>
          <w:bCs/>
        </w:rPr>
      </w:pPr>
    </w:p>
    <w:p w14:paraId="4F8001DE" w14:textId="24371B69" w:rsidR="00725A94" w:rsidRDefault="00DF71F9" w:rsidP="00725A94">
      <w:pPr>
        <w:pStyle w:val="ListParagraph"/>
        <w:numPr>
          <w:ilvl w:val="0"/>
          <w:numId w:val="22"/>
        </w:numPr>
      </w:pPr>
      <w:r w:rsidRPr="00725A94">
        <w:rPr>
          <w:bCs/>
        </w:rPr>
        <w:t>“</w:t>
      </w:r>
      <w:r w:rsidRPr="00725A94">
        <w:rPr>
          <w:b/>
          <w:bCs/>
          <w:i/>
        </w:rPr>
        <w:t>Notice</w:t>
      </w:r>
      <w:r w:rsidRPr="00725A94">
        <w:rPr>
          <w:bCs/>
        </w:rPr>
        <w:t>” is defined in Se</w:t>
      </w:r>
      <w:r w:rsidR="00670E38">
        <w:t xml:space="preserve">ction </w:t>
      </w:r>
      <w:r w:rsidR="006C4834">
        <w:t>7</w:t>
      </w:r>
      <w:r w:rsidR="004B351B">
        <w:t>.</w:t>
      </w:r>
      <w:r w:rsidR="00D766E4">
        <w:t>2</w:t>
      </w:r>
      <w:r w:rsidRPr="00246864">
        <w:t>.</w:t>
      </w:r>
    </w:p>
    <w:p w14:paraId="5DFC91AD" w14:textId="77777777" w:rsidR="00725A94" w:rsidRPr="00922791" w:rsidRDefault="00725A94" w:rsidP="00922791">
      <w:pPr>
        <w:rPr>
          <w:b/>
          <w:i/>
        </w:rPr>
      </w:pPr>
    </w:p>
    <w:p w14:paraId="20F3C638" w14:textId="7BBC76A5" w:rsidR="000E42F0" w:rsidRDefault="000C670C" w:rsidP="00FA7FF2">
      <w:pPr>
        <w:rPr>
          <w:b/>
        </w:rPr>
      </w:pPr>
      <w:r>
        <w:rPr>
          <w:b/>
          <w:bCs/>
        </w:rPr>
        <w:t xml:space="preserve">Section </w:t>
      </w:r>
      <w:r w:rsidR="00246864">
        <w:rPr>
          <w:b/>
          <w:bCs/>
        </w:rPr>
        <w:t>3</w:t>
      </w:r>
      <w:r>
        <w:rPr>
          <w:b/>
          <w:bCs/>
        </w:rPr>
        <w:t>.</w:t>
      </w:r>
      <w:r w:rsidR="00F73876">
        <w:rPr>
          <w:b/>
          <w:bCs/>
        </w:rPr>
        <w:t xml:space="preserve"> </w:t>
      </w:r>
      <w:r w:rsidR="005F42C6">
        <w:rPr>
          <w:b/>
          <w:bCs/>
        </w:rPr>
        <w:tab/>
      </w:r>
      <w:r w:rsidR="00F11E5B">
        <w:rPr>
          <w:b/>
          <w:bCs/>
        </w:rPr>
        <w:t xml:space="preserve">Use of </w:t>
      </w:r>
      <w:r w:rsidR="00AA3832">
        <w:rPr>
          <w:b/>
          <w:bCs/>
        </w:rPr>
        <w:t xml:space="preserve">the </w:t>
      </w:r>
      <w:r w:rsidR="00F11E5B">
        <w:rPr>
          <w:b/>
          <w:bCs/>
        </w:rPr>
        <w:t>Property</w:t>
      </w:r>
      <w:r w:rsidR="00874B49">
        <w:rPr>
          <w:b/>
          <w:bCs/>
        </w:rPr>
        <w:t>.</w:t>
      </w:r>
      <w:r w:rsidR="002558EA">
        <w:rPr>
          <w:b/>
          <w:bCs/>
        </w:rPr>
        <w:t xml:space="preserve"> </w:t>
      </w:r>
      <w:r w:rsidR="00AE1F98">
        <w:rPr>
          <w:b/>
        </w:rPr>
        <w:t xml:space="preserve"> </w:t>
      </w:r>
    </w:p>
    <w:p w14:paraId="08209719" w14:textId="77777777" w:rsidR="00C92647" w:rsidRDefault="00C92647" w:rsidP="00FA7FF2">
      <w:pPr>
        <w:rPr>
          <w:b/>
        </w:rPr>
      </w:pPr>
    </w:p>
    <w:p w14:paraId="791B31CF" w14:textId="5B6D3FF0" w:rsidR="000E42F0" w:rsidRDefault="000E42F0" w:rsidP="00FA7FF2">
      <w:pPr>
        <w:rPr>
          <w:bCs/>
        </w:rPr>
      </w:pPr>
      <w:r>
        <w:rPr>
          <w:b/>
        </w:rPr>
        <w:t>3.1</w:t>
      </w:r>
      <w:r>
        <w:rPr>
          <w:b/>
        </w:rPr>
        <w:tab/>
        <w:t xml:space="preserve">Resale.  </w:t>
      </w:r>
      <w:r w:rsidR="006C4834">
        <w:rPr>
          <w:bCs/>
        </w:rPr>
        <w:t>City</w:t>
      </w:r>
      <w:r w:rsidR="00AE1F98">
        <w:rPr>
          <w:bCs/>
        </w:rPr>
        <w:t xml:space="preserve"> shall res</w:t>
      </w:r>
      <w:r w:rsidR="006C4834">
        <w:rPr>
          <w:bCs/>
        </w:rPr>
        <w:t>ell</w:t>
      </w:r>
      <w:r w:rsidR="00AE1F98">
        <w:rPr>
          <w:bCs/>
        </w:rPr>
        <w:t xml:space="preserve"> the Property</w:t>
      </w:r>
      <w:r w:rsidR="00D07603">
        <w:rPr>
          <w:bCs/>
        </w:rPr>
        <w:t xml:space="preserve"> within two (2) years of the close of escrow</w:t>
      </w:r>
      <w:r>
        <w:rPr>
          <w:bCs/>
        </w:rPr>
        <w:t xml:space="preserve"> that </w:t>
      </w:r>
      <w:r w:rsidR="00D07603">
        <w:rPr>
          <w:bCs/>
        </w:rPr>
        <w:t>transfer</w:t>
      </w:r>
      <w:r>
        <w:rPr>
          <w:bCs/>
        </w:rPr>
        <w:t>s</w:t>
      </w:r>
      <w:r w:rsidR="00D07603">
        <w:rPr>
          <w:bCs/>
        </w:rPr>
        <w:t xml:space="preserve"> title of the Property from Caltrans to </w:t>
      </w:r>
      <w:r w:rsidR="006C4834">
        <w:rPr>
          <w:bCs/>
        </w:rPr>
        <w:t>City</w:t>
      </w:r>
      <w:r w:rsidR="00D07603">
        <w:rPr>
          <w:bCs/>
        </w:rPr>
        <w:t>.</w:t>
      </w:r>
      <w:r w:rsidR="00042EEF">
        <w:rPr>
          <w:bCs/>
        </w:rPr>
        <w:t xml:space="preserve"> </w:t>
      </w:r>
      <w:r w:rsidR="00E42BE7">
        <w:rPr>
          <w:bCs/>
        </w:rPr>
        <w:t xml:space="preserve">Monitoring Entity may grant the </w:t>
      </w:r>
      <w:r w:rsidR="006C4834">
        <w:rPr>
          <w:bCs/>
        </w:rPr>
        <w:t>City</w:t>
      </w:r>
      <w:r w:rsidR="00042EEF">
        <w:rPr>
          <w:bCs/>
        </w:rPr>
        <w:t xml:space="preserve"> </w:t>
      </w:r>
      <w:r w:rsidR="003A35A3">
        <w:rPr>
          <w:bCs/>
        </w:rPr>
        <w:t xml:space="preserve">up to  </w:t>
      </w:r>
      <w:r w:rsidR="00042EEF">
        <w:rPr>
          <w:bCs/>
        </w:rPr>
        <w:t xml:space="preserve">one two-year extension </w:t>
      </w:r>
      <w:r w:rsidR="00651FD9">
        <w:rPr>
          <w:bCs/>
        </w:rPr>
        <w:t xml:space="preserve">of time to resell the Property </w:t>
      </w:r>
      <w:r w:rsidR="00042EEF">
        <w:rPr>
          <w:bCs/>
        </w:rPr>
        <w:t xml:space="preserve">if </w:t>
      </w:r>
      <w:r w:rsidR="005A2ED5">
        <w:rPr>
          <w:bCs/>
        </w:rPr>
        <w:t>City</w:t>
      </w:r>
      <w:r w:rsidR="00042EEF">
        <w:rPr>
          <w:bCs/>
        </w:rPr>
        <w:t xml:space="preserve"> demonstrates sufficient progress on the sale of the Property. Sufficient progress include</w:t>
      </w:r>
      <w:r w:rsidR="00372A80">
        <w:rPr>
          <w:bCs/>
        </w:rPr>
        <w:t>s</w:t>
      </w:r>
      <w:r w:rsidR="00042EEF">
        <w:rPr>
          <w:bCs/>
        </w:rPr>
        <w:t>:</w:t>
      </w:r>
    </w:p>
    <w:p w14:paraId="1DF031BD" w14:textId="280EF04C" w:rsidR="00042EEF" w:rsidRDefault="00042EEF" w:rsidP="00FA7FF2">
      <w:pPr>
        <w:rPr>
          <w:bCs/>
        </w:rPr>
      </w:pPr>
    </w:p>
    <w:p w14:paraId="60256EA5" w14:textId="4E87EBAE" w:rsidR="00042EEF" w:rsidRDefault="00042EEF" w:rsidP="00042EEF">
      <w:pPr>
        <w:pStyle w:val="ListParagraph"/>
        <w:numPr>
          <w:ilvl w:val="0"/>
          <w:numId w:val="28"/>
        </w:numPr>
        <w:rPr>
          <w:bCs/>
        </w:rPr>
      </w:pPr>
      <w:r>
        <w:rPr>
          <w:bCs/>
        </w:rPr>
        <w:t>Proof that the Property has been listed for 180 days at a price that does not exceed fair marke</w:t>
      </w:r>
      <w:r w:rsidR="00B64997">
        <w:rPr>
          <w:bCs/>
        </w:rPr>
        <w:t>t</w:t>
      </w:r>
      <w:r>
        <w:rPr>
          <w:bCs/>
        </w:rPr>
        <w:t xml:space="preserve"> value</w:t>
      </w:r>
      <w:r w:rsidR="00372A80">
        <w:rPr>
          <w:bCs/>
        </w:rPr>
        <w:t xml:space="preserve"> based on comparable sales in the City of Pasadena with no offers; or</w:t>
      </w:r>
    </w:p>
    <w:p w14:paraId="06622697" w14:textId="14784C24" w:rsidR="00372A80" w:rsidRDefault="00372A80" w:rsidP="00372A80">
      <w:pPr>
        <w:rPr>
          <w:bCs/>
        </w:rPr>
      </w:pPr>
    </w:p>
    <w:p w14:paraId="660DC87C" w14:textId="393E4295" w:rsidR="00372A80" w:rsidRDefault="00372A80" w:rsidP="00372A80">
      <w:pPr>
        <w:pStyle w:val="ListParagraph"/>
        <w:numPr>
          <w:ilvl w:val="0"/>
          <w:numId w:val="28"/>
        </w:numPr>
        <w:rPr>
          <w:bCs/>
        </w:rPr>
      </w:pPr>
      <w:r>
        <w:rPr>
          <w:bCs/>
        </w:rPr>
        <w:t xml:space="preserve">Unexpected structural damage </w:t>
      </w:r>
      <w:r w:rsidR="006F21FA">
        <w:rPr>
          <w:bCs/>
        </w:rPr>
        <w:t xml:space="preserve">to the Property </w:t>
      </w:r>
      <w:r>
        <w:rPr>
          <w:bCs/>
        </w:rPr>
        <w:t>due to a natural disaster or similar occurrence; or</w:t>
      </w:r>
    </w:p>
    <w:p w14:paraId="14743A34" w14:textId="77777777" w:rsidR="00372A80" w:rsidRPr="00372A80" w:rsidRDefault="00372A80" w:rsidP="00372A80">
      <w:pPr>
        <w:pStyle w:val="ListParagraph"/>
        <w:rPr>
          <w:bCs/>
        </w:rPr>
      </w:pPr>
    </w:p>
    <w:p w14:paraId="7248A24A" w14:textId="3AC8C845" w:rsidR="000E42F0" w:rsidRDefault="00372A80" w:rsidP="006F5F0C">
      <w:pPr>
        <w:pStyle w:val="ListParagraph"/>
        <w:numPr>
          <w:ilvl w:val="0"/>
          <w:numId w:val="28"/>
        </w:numPr>
        <w:rPr>
          <w:bCs/>
        </w:rPr>
      </w:pPr>
      <w:r w:rsidRPr="002B2E0A">
        <w:rPr>
          <w:bCs/>
        </w:rPr>
        <w:t xml:space="preserve">Other proof of progress at the discretion of the </w:t>
      </w:r>
      <w:r w:rsidR="002B2E0A" w:rsidRPr="002B2E0A">
        <w:rPr>
          <w:bCs/>
        </w:rPr>
        <w:t xml:space="preserve">Monitoring Entity’s </w:t>
      </w:r>
      <w:r w:rsidRPr="002B2E0A">
        <w:rPr>
          <w:bCs/>
        </w:rPr>
        <w:t>Director</w:t>
      </w:r>
      <w:r w:rsidR="002B2E0A" w:rsidRPr="002B2E0A">
        <w:rPr>
          <w:bCs/>
        </w:rPr>
        <w:t>.</w:t>
      </w:r>
    </w:p>
    <w:p w14:paraId="43B7CBB8" w14:textId="77777777" w:rsidR="002B2E0A" w:rsidRPr="002B2E0A" w:rsidRDefault="002B2E0A" w:rsidP="002B2E0A">
      <w:pPr>
        <w:rPr>
          <w:bCs/>
        </w:rPr>
      </w:pPr>
    </w:p>
    <w:p w14:paraId="6C44BA19" w14:textId="310EDF08" w:rsidR="000E42F0" w:rsidRDefault="000E42F0" w:rsidP="00FA7FF2">
      <w:pPr>
        <w:rPr>
          <w:bCs/>
        </w:rPr>
      </w:pPr>
      <w:r w:rsidRPr="000E42F0">
        <w:rPr>
          <w:b/>
        </w:rPr>
        <w:t>3.2</w:t>
      </w:r>
      <w:r w:rsidRPr="000E42F0">
        <w:rPr>
          <w:b/>
        </w:rPr>
        <w:tab/>
      </w:r>
      <w:r>
        <w:rPr>
          <w:b/>
        </w:rPr>
        <w:t xml:space="preserve">Affordable Housing. </w:t>
      </w:r>
      <w:r>
        <w:rPr>
          <w:bCs/>
        </w:rPr>
        <w:t xml:space="preserve">If </w:t>
      </w:r>
      <w:r w:rsidR="006C4834">
        <w:rPr>
          <w:bCs/>
        </w:rPr>
        <w:t>City</w:t>
      </w:r>
      <w:r>
        <w:rPr>
          <w:bCs/>
        </w:rPr>
        <w:t xml:space="preserve"> does not resell the </w:t>
      </w:r>
      <w:r w:rsidR="00554832">
        <w:rPr>
          <w:bCs/>
        </w:rPr>
        <w:t>P</w:t>
      </w:r>
      <w:r>
        <w:rPr>
          <w:bCs/>
        </w:rPr>
        <w:t>roperty within the period described in Section 3.1</w:t>
      </w:r>
      <w:r w:rsidR="00554832">
        <w:rPr>
          <w:bCs/>
        </w:rPr>
        <w:t xml:space="preserve"> (including any extension(s) granted by the Monitoring Entity)</w:t>
      </w:r>
      <w:r>
        <w:rPr>
          <w:bCs/>
        </w:rPr>
        <w:t xml:space="preserve">, then </w:t>
      </w:r>
      <w:r w:rsidR="006C4834">
        <w:rPr>
          <w:bCs/>
        </w:rPr>
        <w:t>City</w:t>
      </w:r>
      <w:r>
        <w:rPr>
          <w:bCs/>
        </w:rPr>
        <w:t xml:space="preserve"> shall cause the Property to be used </w:t>
      </w:r>
      <w:r w:rsidR="00042EEF">
        <w:rPr>
          <w:bCs/>
        </w:rPr>
        <w:t>as</w:t>
      </w:r>
      <w:r>
        <w:rPr>
          <w:bCs/>
        </w:rPr>
        <w:t xml:space="preserve"> either of the following:</w:t>
      </w:r>
    </w:p>
    <w:p w14:paraId="655B94DE" w14:textId="77777777" w:rsidR="000E42F0" w:rsidRDefault="000E42F0" w:rsidP="00FA7FF2">
      <w:pPr>
        <w:rPr>
          <w:bCs/>
        </w:rPr>
      </w:pPr>
    </w:p>
    <w:p w14:paraId="6A4951F9" w14:textId="167E7395" w:rsidR="004C1E86" w:rsidRDefault="00DC2C15" w:rsidP="000E42F0">
      <w:pPr>
        <w:pStyle w:val="ListParagraph"/>
        <w:numPr>
          <w:ilvl w:val="0"/>
          <w:numId w:val="27"/>
        </w:numPr>
        <w:rPr>
          <w:bCs/>
        </w:rPr>
      </w:pPr>
      <w:r>
        <w:rPr>
          <w:bCs/>
        </w:rPr>
        <w:lastRenderedPageBreak/>
        <w:t xml:space="preserve">As an affordable rental </w:t>
      </w:r>
      <w:r w:rsidR="004C1E86">
        <w:rPr>
          <w:bCs/>
        </w:rPr>
        <w:t>to lower income and moderate-income households, as defined by Health and Safety Code sections 50052.5 and 50079.5</w:t>
      </w:r>
      <w:r w:rsidR="006D3F90">
        <w:rPr>
          <w:bCs/>
        </w:rPr>
        <w:t>, respectively</w:t>
      </w:r>
      <w:r w:rsidR="00042EEF">
        <w:rPr>
          <w:bCs/>
        </w:rPr>
        <w:t>. Such use shall be for no less than 55 years.</w:t>
      </w:r>
    </w:p>
    <w:p w14:paraId="2FBCCA40" w14:textId="47BD752D" w:rsidR="004C1E86" w:rsidRDefault="004C1E86" w:rsidP="004C1E86">
      <w:pPr>
        <w:pStyle w:val="ListParagraph"/>
        <w:ind w:left="1080"/>
        <w:rPr>
          <w:bCs/>
        </w:rPr>
      </w:pPr>
    </w:p>
    <w:p w14:paraId="5B06E739" w14:textId="00FC7900" w:rsidR="00042EEF" w:rsidRDefault="004C1E86" w:rsidP="00042EEF">
      <w:pPr>
        <w:pStyle w:val="ListParagraph"/>
        <w:numPr>
          <w:ilvl w:val="0"/>
          <w:numId w:val="27"/>
        </w:numPr>
        <w:rPr>
          <w:bCs/>
        </w:rPr>
      </w:pPr>
      <w:r>
        <w:rPr>
          <w:bCs/>
        </w:rPr>
        <w:t xml:space="preserve">If the Property is a single-family residence, then </w:t>
      </w:r>
      <w:r w:rsidR="00042EEF">
        <w:rPr>
          <w:bCs/>
        </w:rPr>
        <w:t xml:space="preserve">as </w:t>
      </w:r>
      <w:r w:rsidR="00620CF9">
        <w:rPr>
          <w:bCs/>
        </w:rPr>
        <w:t>owner</w:t>
      </w:r>
      <w:r w:rsidR="00042EEF">
        <w:rPr>
          <w:bCs/>
        </w:rPr>
        <w:t>-occupied affordable housing</w:t>
      </w:r>
      <w:r w:rsidR="003C1690">
        <w:rPr>
          <w:bCs/>
        </w:rPr>
        <w:t xml:space="preserve"> f</w:t>
      </w:r>
      <w:r w:rsidR="003C1690" w:rsidRPr="003C1690">
        <w:rPr>
          <w:bCs/>
        </w:rPr>
        <w:t>or no less than 45 years</w:t>
      </w:r>
      <w:r w:rsidR="003F59E9">
        <w:rPr>
          <w:bCs/>
        </w:rPr>
        <w:t>, w</w:t>
      </w:r>
      <w:r w:rsidR="00042EEF">
        <w:rPr>
          <w:bCs/>
        </w:rPr>
        <w:t xml:space="preserve">ith </w:t>
      </w:r>
      <w:r>
        <w:rPr>
          <w:bCs/>
        </w:rPr>
        <w:t>the Property be</w:t>
      </w:r>
      <w:r w:rsidR="00042EEF">
        <w:rPr>
          <w:bCs/>
        </w:rPr>
        <w:t>ing</w:t>
      </w:r>
      <w:r>
        <w:rPr>
          <w:bCs/>
        </w:rPr>
        <w:t xml:space="preserve"> sold to a person or family of low or moderate income at an affordable price, as defined by Government Code section 62250.</w:t>
      </w:r>
      <w:r w:rsidR="00042EEF">
        <w:rPr>
          <w:bCs/>
        </w:rPr>
        <w:t xml:space="preserve"> </w:t>
      </w:r>
      <w:r w:rsidR="003F59E9">
        <w:rPr>
          <w:bCs/>
        </w:rPr>
        <w:t>T</w:t>
      </w:r>
      <w:r w:rsidR="00042EEF">
        <w:rPr>
          <w:bCs/>
        </w:rPr>
        <w:t xml:space="preserve">he Property may then only be resold at an affordable price to a person or family of low or moderate income. </w:t>
      </w:r>
      <w:r>
        <w:rPr>
          <w:bCs/>
        </w:rPr>
        <w:t xml:space="preserve"> </w:t>
      </w:r>
    </w:p>
    <w:p w14:paraId="3473285A" w14:textId="77777777" w:rsidR="004C1E86" w:rsidRDefault="004C1E86" w:rsidP="004C1E86">
      <w:pPr>
        <w:rPr>
          <w:bCs/>
        </w:rPr>
      </w:pPr>
    </w:p>
    <w:p w14:paraId="044BC4E5" w14:textId="23387FDE" w:rsidR="00DF71F9" w:rsidRDefault="00DF71F9">
      <w:pPr>
        <w:rPr>
          <w:b/>
          <w:bCs/>
        </w:rPr>
      </w:pPr>
      <w:r>
        <w:rPr>
          <w:b/>
          <w:bCs/>
        </w:rPr>
        <w:t xml:space="preserve">Section </w:t>
      </w:r>
      <w:r w:rsidR="005D2D70">
        <w:rPr>
          <w:b/>
          <w:bCs/>
        </w:rPr>
        <w:t>4</w:t>
      </w:r>
      <w:r>
        <w:rPr>
          <w:b/>
          <w:bCs/>
        </w:rPr>
        <w:t>.</w:t>
      </w:r>
      <w:r>
        <w:rPr>
          <w:b/>
          <w:bCs/>
        </w:rPr>
        <w:tab/>
      </w:r>
      <w:r w:rsidR="00AE1F98">
        <w:rPr>
          <w:b/>
          <w:bCs/>
        </w:rPr>
        <w:t xml:space="preserve">Use of </w:t>
      </w:r>
      <w:r w:rsidR="003952DB">
        <w:rPr>
          <w:b/>
          <w:bCs/>
        </w:rPr>
        <w:t xml:space="preserve">the </w:t>
      </w:r>
      <w:r w:rsidR="00AE1F98">
        <w:rPr>
          <w:b/>
          <w:bCs/>
        </w:rPr>
        <w:t xml:space="preserve">Proceeds </w:t>
      </w:r>
      <w:r w:rsidR="003952DB">
        <w:rPr>
          <w:b/>
          <w:bCs/>
        </w:rPr>
        <w:t>After</w:t>
      </w:r>
      <w:r w:rsidR="00AE1F98">
        <w:rPr>
          <w:b/>
          <w:bCs/>
        </w:rPr>
        <w:t xml:space="preserve"> Resale.</w:t>
      </w:r>
    </w:p>
    <w:p w14:paraId="69CD4374" w14:textId="77777777" w:rsidR="00AA3832" w:rsidRDefault="00AA3832">
      <w:pPr>
        <w:rPr>
          <w:b/>
          <w:bCs/>
        </w:rPr>
      </w:pPr>
    </w:p>
    <w:p w14:paraId="7E87BBEE" w14:textId="4F3A461E" w:rsidR="00AE1F98" w:rsidRDefault="00AE1F98" w:rsidP="00AE1F98">
      <w:pPr>
        <w:rPr>
          <w:bCs/>
        </w:rPr>
      </w:pPr>
      <w:r>
        <w:rPr>
          <w:b/>
        </w:rPr>
        <w:t>4.1</w:t>
      </w:r>
      <w:r>
        <w:rPr>
          <w:b/>
        </w:rPr>
        <w:tab/>
      </w:r>
      <w:r w:rsidR="002558EA">
        <w:rPr>
          <w:b/>
        </w:rPr>
        <w:t xml:space="preserve">Required Use of Proceeds. </w:t>
      </w:r>
      <w:r w:rsidR="006C4834">
        <w:rPr>
          <w:bCs/>
        </w:rPr>
        <w:t>City</w:t>
      </w:r>
      <w:r w:rsidR="002558EA">
        <w:rPr>
          <w:bCs/>
        </w:rPr>
        <w:t xml:space="preserve"> shall use the proceeds from the resale of the Property </w:t>
      </w:r>
      <w:r w:rsidR="000E42F0">
        <w:rPr>
          <w:bCs/>
        </w:rPr>
        <w:t xml:space="preserve">described in Section 3.1 </w:t>
      </w:r>
      <w:r w:rsidR="002558EA">
        <w:rPr>
          <w:bCs/>
        </w:rPr>
        <w:t xml:space="preserve">to finance the production or acquisition </w:t>
      </w:r>
      <w:r w:rsidR="00FA5662">
        <w:rPr>
          <w:bCs/>
        </w:rPr>
        <w:t xml:space="preserve">of at least three (3) housing units </w:t>
      </w:r>
      <w:r w:rsidR="002558EA">
        <w:rPr>
          <w:bCs/>
        </w:rPr>
        <w:t>that meet all the following criteria:</w:t>
      </w:r>
    </w:p>
    <w:p w14:paraId="4BB7342D" w14:textId="2CD2095B" w:rsidR="002558EA" w:rsidRDefault="002558EA" w:rsidP="00AE1F98">
      <w:pPr>
        <w:rPr>
          <w:bCs/>
        </w:rPr>
      </w:pPr>
      <w:r>
        <w:rPr>
          <w:bCs/>
        </w:rPr>
        <w:tab/>
      </w:r>
    </w:p>
    <w:p w14:paraId="697D9E6D" w14:textId="7368C41B" w:rsidR="00FA5662" w:rsidRDefault="00FA5662" w:rsidP="002558EA">
      <w:pPr>
        <w:pStyle w:val="ListParagraph"/>
        <w:numPr>
          <w:ilvl w:val="0"/>
          <w:numId w:val="26"/>
        </w:numPr>
        <w:rPr>
          <w:bCs/>
        </w:rPr>
      </w:pPr>
      <w:r>
        <w:rPr>
          <w:bCs/>
        </w:rPr>
        <w:t xml:space="preserve">The housing units must be affordable to persons and families of </w:t>
      </w:r>
      <w:r w:rsidR="00B95ADF" w:rsidRPr="00BC2890">
        <w:rPr>
          <w:bCs/>
        </w:rPr>
        <w:t>very-low,</w:t>
      </w:r>
      <w:r w:rsidR="00B95ADF">
        <w:rPr>
          <w:bCs/>
        </w:rPr>
        <w:t xml:space="preserve"> </w:t>
      </w:r>
      <w:r>
        <w:rPr>
          <w:bCs/>
        </w:rPr>
        <w:t>low or moderate-income, as defined by Health and Safety Code section 50093</w:t>
      </w:r>
      <w:r w:rsidR="00257184">
        <w:rPr>
          <w:bCs/>
        </w:rPr>
        <w:t>; and</w:t>
      </w:r>
      <w:r>
        <w:rPr>
          <w:bCs/>
        </w:rPr>
        <w:t xml:space="preserve"> </w:t>
      </w:r>
    </w:p>
    <w:p w14:paraId="57C9A384" w14:textId="77777777" w:rsidR="00FA5662" w:rsidRDefault="00FA5662" w:rsidP="00FA5662">
      <w:pPr>
        <w:pStyle w:val="ListParagraph"/>
        <w:ind w:left="1080"/>
        <w:rPr>
          <w:bCs/>
        </w:rPr>
      </w:pPr>
    </w:p>
    <w:p w14:paraId="04C90202" w14:textId="1522D778" w:rsidR="00FA5662" w:rsidRPr="00CA6E4E" w:rsidRDefault="00CA6E4E" w:rsidP="00CA6E4E">
      <w:pPr>
        <w:pStyle w:val="ListParagraph"/>
        <w:numPr>
          <w:ilvl w:val="0"/>
          <w:numId w:val="26"/>
        </w:numPr>
        <w:rPr>
          <w:bCs/>
        </w:rPr>
      </w:pPr>
      <w:r w:rsidRPr="00CA6E4E">
        <w:rPr>
          <w:bCs/>
        </w:rPr>
        <w:t xml:space="preserve">Either through its </w:t>
      </w:r>
      <w:r w:rsidR="00620CF9">
        <w:rPr>
          <w:bCs/>
        </w:rPr>
        <w:t>owner</w:t>
      </w:r>
      <w:r w:rsidRPr="00CA6E4E">
        <w:rPr>
          <w:bCs/>
        </w:rPr>
        <w:t xml:space="preserve">ship of the housing units or by regulatory agreement if it does not own the housing units, </w:t>
      </w:r>
      <w:r w:rsidR="006C4834">
        <w:rPr>
          <w:bCs/>
        </w:rPr>
        <w:t>City</w:t>
      </w:r>
      <w:r w:rsidRPr="00CA6E4E">
        <w:rPr>
          <w:bCs/>
        </w:rPr>
        <w:t xml:space="preserve"> shall cause </w:t>
      </w:r>
      <w:r>
        <w:rPr>
          <w:bCs/>
        </w:rPr>
        <w:t>each</w:t>
      </w:r>
      <w:r w:rsidRPr="00CA6E4E">
        <w:rPr>
          <w:bCs/>
        </w:rPr>
        <w:t xml:space="preserve"> housing unit to be made available at </w:t>
      </w:r>
      <w:r>
        <w:rPr>
          <w:bCs/>
        </w:rPr>
        <w:t xml:space="preserve">an </w:t>
      </w:r>
      <w:r w:rsidRPr="00CA6E4E">
        <w:rPr>
          <w:bCs/>
        </w:rPr>
        <w:t xml:space="preserve">affordable </w:t>
      </w:r>
      <w:r w:rsidR="002558EA" w:rsidRPr="00CA6E4E">
        <w:rPr>
          <w:bCs/>
        </w:rPr>
        <w:t xml:space="preserve">sales price or an affordable rent, as defined in </w:t>
      </w:r>
      <w:r w:rsidR="00BA4737" w:rsidRPr="00BA4737">
        <w:rPr>
          <w:bCs/>
        </w:rPr>
        <w:t xml:space="preserve">Health and Safety Code </w:t>
      </w:r>
      <w:r w:rsidR="00BA4737">
        <w:rPr>
          <w:bCs/>
        </w:rPr>
        <w:t>s</w:t>
      </w:r>
      <w:r w:rsidR="002558EA" w:rsidRPr="00CA6E4E">
        <w:rPr>
          <w:bCs/>
        </w:rPr>
        <w:t>ections 50052.5 and 50053</w:t>
      </w:r>
      <w:r w:rsidR="00FA5662" w:rsidRPr="00CA6E4E">
        <w:rPr>
          <w:bCs/>
        </w:rPr>
        <w:t>; and</w:t>
      </w:r>
    </w:p>
    <w:p w14:paraId="43E245E1" w14:textId="77777777" w:rsidR="00FA5662" w:rsidRDefault="00FA5662" w:rsidP="00FA5662">
      <w:pPr>
        <w:pStyle w:val="ListParagraph"/>
        <w:ind w:left="1080"/>
        <w:rPr>
          <w:bCs/>
        </w:rPr>
      </w:pPr>
    </w:p>
    <w:p w14:paraId="49E2E8A4" w14:textId="447547B7" w:rsidR="00FA5662" w:rsidRDefault="00CA6E4E" w:rsidP="00CA6E4E">
      <w:pPr>
        <w:pStyle w:val="ListParagraph"/>
        <w:numPr>
          <w:ilvl w:val="0"/>
          <w:numId w:val="26"/>
        </w:numPr>
        <w:rPr>
          <w:bCs/>
        </w:rPr>
      </w:pPr>
      <w:r>
        <w:rPr>
          <w:bCs/>
        </w:rPr>
        <w:t>If a</w:t>
      </w:r>
      <w:r w:rsidRPr="00CA6E4E">
        <w:rPr>
          <w:bCs/>
        </w:rPr>
        <w:t xml:space="preserve"> housing unit </w:t>
      </w:r>
      <w:r>
        <w:rPr>
          <w:bCs/>
        </w:rPr>
        <w:t>is used</w:t>
      </w:r>
      <w:r w:rsidRPr="00CA6E4E">
        <w:rPr>
          <w:bCs/>
        </w:rPr>
        <w:t xml:space="preserve"> as a rental</w:t>
      </w:r>
      <w:r>
        <w:rPr>
          <w:bCs/>
        </w:rPr>
        <w:t>, then it shall be available at an affordable rent for no less than 55 years; and</w:t>
      </w:r>
      <w:r w:rsidRPr="00CA6E4E">
        <w:rPr>
          <w:bCs/>
        </w:rPr>
        <w:t xml:space="preserve"> </w:t>
      </w:r>
    </w:p>
    <w:p w14:paraId="11CECA0B" w14:textId="77777777" w:rsidR="00CA6E4E" w:rsidRPr="00CA6E4E" w:rsidRDefault="00CA6E4E" w:rsidP="00CA6E4E">
      <w:pPr>
        <w:rPr>
          <w:bCs/>
        </w:rPr>
      </w:pPr>
    </w:p>
    <w:p w14:paraId="6C2DCDD9" w14:textId="0579427C" w:rsidR="00FA5662" w:rsidRDefault="00CA6E4E" w:rsidP="00CA6E4E">
      <w:pPr>
        <w:pStyle w:val="ListParagraph"/>
        <w:numPr>
          <w:ilvl w:val="0"/>
          <w:numId w:val="26"/>
        </w:numPr>
        <w:rPr>
          <w:bCs/>
        </w:rPr>
      </w:pPr>
      <w:r>
        <w:rPr>
          <w:bCs/>
        </w:rPr>
        <w:t xml:space="preserve">If a housing unit is used as an </w:t>
      </w:r>
      <w:r w:rsidR="00620CF9">
        <w:rPr>
          <w:bCs/>
        </w:rPr>
        <w:t>owner</w:t>
      </w:r>
      <w:r>
        <w:rPr>
          <w:bCs/>
        </w:rPr>
        <w:t>-occupied affordable housing unit, then it shall be so used for no less than 45 years; and</w:t>
      </w:r>
    </w:p>
    <w:p w14:paraId="09456694" w14:textId="77777777" w:rsidR="00CA6E4E" w:rsidRPr="00CA6E4E" w:rsidRDefault="00CA6E4E" w:rsidP="00CA6E4E">
      <w:pPr>
        <w:pStyle w:val="ListParagraph"/>
        <w:rPr>
          <w:bCs/>
        </w:rPr>
      </w:pPr>
    </w:p>
    <w:p w14:paraId="287269AD" w14:textId="33311D1B" w:rsidR="00CA6E4E" w:rsidRDefault="00CA6E4E" w:rsidP="00CA6E4E">
      <w:pPr>
        <w:pStyle w:val="ListParagraph"/>
        <w:numPr>
          <w:ilvl w:val="0"/>
          <w:numId w:val="26"/>
        </w:numPr>
        <w:rPr>
          <w:bCs/>
        </w:rPr>
      </w:pPr>
      <w:r>
        <w:rPr>
          <w:bCs/>
        </w:rPr>
        <w:t xml:space="preserve">Each housing unit </w:t>
      </w:r>
      <w:r w:rsidR="00B705D0">
        <w:rPr>
          <w:bCs/>
        </w:rPr>
        <w:t xml:space="preserve">shall be within high or highest resource census tracts within the City of Pasadena as identified by the latest edition of the California Tax Credit Allocation Committee’s opportunity maps.  To the greatest extent possible, units acquired or produced shall be in geographic proximity to the unoccupied homes sold by the City.  </w:t>
      </w:r>
    </w:p>
    <w:p w14:paraId="65E9CFDF" w14:textId="68FB6606" w:rsidR="00CA6E4E" w:rsidRDefault="00CA6E4E" w:rsidP="00CA6E4E">
      <w:pPr>
        <w:rPr>
          <w:bCs/>
        </w:rPr>
      </w:pPr>
    </w:p>
    <w:p w14:paraId="713B83E7" w14:textId="2A889900" w:rsidR="00372A80" w:rsidRDefault="00372A80" w:rsidP="00CA6E4E">
      <w:pPr>
        <w:rPr>
          <w:b/>
        </w:rPr>
      </w:pPr>
      <w:r>
        <w:rPr>
          <w:b/>
        </w:rPr>
        <w:t xml:space="preserve">4.2 </w:t>
      </w:r>
      <w:r>
        <w:rPr>
          <w:b/>
        </w:rPr>
        <w:tab/>
        <w:t xml:space="preserve">Monitoring. </w:t>
      </w:r>
      <w:r w:rsidR="006C4834">
        <w:rPr>
          <w:bCs/>
        </w:rPr>
        <w:t>City</w:t>
      </w:r>
      <w:r>
        <w:rPr>
          <w:bCs/>
        </w:rPr>
        <w:t xml:space="preserve"> shall monitor compliance with the regulatory agreement described in Section 4.1(b). </w:t>
      </w:r>
      <w:r w:rsidR="006C4834">
        <w:rPr>
          <w:bCs/>
        </w:rPr>
        <w:t>City</w:t>
      </w:r>
      <w:r>
        <w:rPr>
          <w:bCs/>
        </w:rPr>
        <w:t xml:space="preserve"> may charge a fee to recover the cost of this monitoring. </w:t>
      </w:r>
    </w:p>
    <w:p w14:paraId="0509D22F" w14:textId="77777777" w:rsidR="00372A80" w:rsidRDefault="00372A80" w:rsidP="00CA6E4E">
      <w:pPr>
        <w:rPr>
          <w:b/>
        </w:rPr>
      </w:pPr>
    </w:p>
    <w:p w14:paraId="0F85F150" w14:textId="3069B4BD" w:rsidR="00CA6E4E" w:rsidRDefault="00CA6E4E" w:rsidP="00CA6E4E">
      <w:pPr>
        <w:rPr>
          <w:bCs/>
        </w:rPr>
      </w:pPr>
      <w:r>
        <w:rPr>
          <w:b/>
        </w:rPr>
        <w:t>4.</w:t>
      </w:r>
      <w:r w:rsidR="00372A80">
        <w:rPr>
          <w:b/>
        </w:rPr>
        <w:t>3</w:t>
      </w:r>
      <w:r>
        <w:rPr>
          <w:b/>
        </w:rPr>
        <w:t xml:space="preserve"> </w:t>
      </w:r>
      <w:r>
        <w:rPr>
          <w:b/>
        </w:rPr>
        <w:tab/>
        <w:t xml:space="preserve">Sites for Housing Units. </w:t>
      </w:r>
      <w:r>
        <w:rPr>
          <w:bCs/>
        </w:rPr>
        <w:t>The housing units described in Section 4.1 may be produced or acquired on a single site or on multiple sites.</w:t>
      </w:r>
    </w:p>
    <w:p w14:paraId="10BDABCC" w14:textId="3C8F80CC" w:rsidR="002558EA" w:rsidRDefault="002558EA" w:rsidP="00CA6E4E">
      <w:pPr>
        <w:rPr>
          <w:bCs/>
        </w:rPr>
      </w:pPr>
    </w:p>
    <w:p w14:paraId="5CD467AF" w14:textId="17DCA380" w:rsidR="00E760B6" w:rsidRPr="00BC2890" w:rsidRDefault="00CA6E4E" w:rsidP="00E760B6">
      <w:pPr>
        <w:rPr>
          <w:bCs/>
        </w:rPr>
      </w:pPr>
      <w:r>
        <w:rPr>
          <w:b/>
        </w:rPr>
        <w:t>4.</w:t>
      </w:r>
      <w:r w:rsidR="00372A80">
        <w:rPr>
          <w:b/>
        </w:rPr>
        <w:t>4</w:t>
      </w:r>
      <w:r>
        <w:rPr>
          <w:b/>
        </w:rPr>
        <w:tab/>
      </w:r>
      <w:r w:rsidR="00D07603">
        <w:rPr>
          <w:b/>
        </w:rPr>
        <w:t xml:space="preserve">Timeline for Production and Acquisition. </w:t>
      </w:r>
      <w:r w:rsidR="006C4834">
        <w:rPr>
          <w:bCs/>
        </w:rPr>
        <w:t>City</w:t>
      </w:r>
      <w:r w:rsidR="00D07603">
        <w:rPr>
          <w:bCs/>
        </w:rPr>
        <w:t xml:space="preserve"> shall commence construction or complete acquisition of all housing units described in Section 4.1 by December 31, 202</w:t>
      </w:r>
      <w:r w:rsidR="00B705D0">
        <w:rPr>
          <w:bCs/>
        </w:rPr>
        <w:t>6</w:t>
      </w:r>
      <w:r w:rsidR="00D07603">
        <w:rPr>
          <w:bCs/>
        </w:rPr>
        <w:t xml:space="preserve">. </w:t>
      </w:r>
      <w:r w:rsidR="00606AE7">
        <w:rPr>
          <w:bCs/>
        </w:rPr>
        <w:t xml:space="preserve"> </w:t>
      </w:r>
      <w:r w:rsidR="00A61E51">
        <w:rPr>
          <w:bCs/>
        </w:rPr>
        <w:t>M</w:t>
      </w:r>
      <w:r w:rsidR="0082214F">
        <w:rPr>
          <w:bCs/>
        </w:rPr>
        <w:t>o</w:t>
      </w:r>
      <w:r w:rsidR="00606AE7">
        <w:rPr>
          <w:bCs/>
        </w:rPr>
        <w:t xml:space="preserve">nitoring </w:t>
      </w:r>
      <w:r w:rsidR="00A61E51">
        <w:rPr>
          <w:bCs/>
        </w:rPr>
        <w:t>E</w:t>
      </w:r>
      <w:r w:rsidR="00606AE7">
        <w:rPr>
          <w:bCs/>
        </w:rPr>
        <w:t xml:space="preserve">ntity may grant the </w:t>
      </w:r>
      <w:r w:rsidR="00E760B6">
        <w:rPr>
          <w:bCs/>
        </w:rPr>
        <w:t xml:space="preserve">City </w:t>
      </w:r>
      <w:r w:rsidR="00257184">
        <w:rPr>
          <w:bCs/>
        </w:rPr>
        <w:t xml:space="preserve">two </w:t>
      </w:r>
      <w:r w:rsidR="00E760B6">
        <w:rPr>
          <w:bCs/>
        </w:rPr>
        <w:t>two-year extension</w:t>
      </w:r>
      <w:r w:rsidR="00950F6C">
        <w:rPr>
          <w:bCs/>
        </w:rPr>
        <w:t>s</w:t>
      </w:r>
      <w:r w:rsidR="00E760B6">
        <w:rPr>
          <w:bCs/>
        </w:rPr>
        <w:t xml:space="preserve"> if it demonstrates sufficient </w:t>
      </w:r>
      <w:r w:rsidR="00E760B6">
        <w:rPr>
          <w:bCs/>
        </w:rPr>
        <w:lastRenderedPageBreak/>
        <w:t xml:space="preserve">progress on the </w:t>
      </w:r>
      <w:r w:rsidR="00CA54F3">
        <w:rPr>
          <w:bCs/>
        </w:rPr>
        <w:t xml:space="preserve">development or acquisition of the housing units. </w:t>
      </w:r>
      <w:r w:rsidR="00E760B6">
        <w:rPr>
          <w:bCs/>
        </w:rPr>
        <w:t>Sufficient progress includes</w:t>
      </w:r>
      <w:r w:rsidR="004C6F75" w:rsidRPr="00BC2890">
        <w:rPr>
          <w:bCs/>
        </w:rPr>
        <w:t>, but is not limited to</w:t>
      </w:r>
      <w:r w:rsidR="00E760B6" w:rsidRPr="00BC2890">
        <w:rPr>
          <w:bCs/>
        </w:rPr>
        <w:t>:</w:t>
      </w:r>
    </w:p>
    <w:p w14:paraId="06792CD6" w14:textId="77777777" w:rsidR="004C6F75" w:rsidRDefault="004C6F75" w:rsidP="00E760B6">
      <w:pPr>
        <w:rPr>
          <w:bCs/>
        </w:rPr>
      </w:pPr>
    </w:p>
    <w:p w14:paraId="5B9A8874" w14:textId="6EEF1688" w:rsidR="00E760B6" w:rsidRDefault="00CA54F3" w:rsidP="00E760B6">
      <w:pPr>
        <w:pStyle w:val="ListParagraph"/>
        <w:numPr>
          <w:ilvl w:val="0"/>
          <w:numId w:val="30"/>
        </w:numPr>
        <w:rPr>
          <w:bCs/>
        </w:rPr>
      </w:pPr>
      <w:r>
        <w:rPr>
          <w:bCs/>
        </w:rPr>
        <w:t>An executed option agreement or exclusive negotiation agreement for the purchase of property intended for conversion to affordable units</w:t>
      </w:r>
      <w:r w:rsidR="00E760B6">
        <w:rPr>
          <w:bCs/>
        </w:rPr>
        <w:t>; or</w:t>
      </w:r>
    </w:p>
    <w:p w14:paraId="5271A8D9" w14:textId="77777777" w:rsidR="00E760B6" w:rsidRDefault="00E760B6" w:rsidP="00E760B6">
      <w:pPr>
        <w:rPr>
          <w:bCs/>
        </w:rPr>
      </w:pPr>
    </w:p>
    <w:p w14:paraId="6D677D72" w14:textId="7E35A525" w:rsidR="00E760B6" w:rsidRDefault="00CA54F3" w:rsidP="00E760B6">
      <w:pPr>
        <w:pStyle w:val="ListParagraph"/>
        <w:numPr>
          <w:ilvl w:val="0"/>
          <w:numId w:val="30"/>
        </w:numPr>
        <w:rPr>
          <w:bCs/>
        </w:rPr>
      </w:pPr>
      <w:r>
        <w:rPr>
          <w:bCs/>
        </w:rPr>
        <w:t>Completed project entitlements or building permits</w:t>
      </w:r>
      <w:r w:rsidR="00E760B6">
        <w:rPr>
          <w:bCs/>
        </w:rPr>
        <w:t>; or</w:t>
      </w:r>
    </w:p>
    <w:p w14:paraId="36447ED8" w14:textId="77777777" w:rsidR="00E760B6" w:rsidRPr="00372A80" w:rsidRDefault="00E760B6" w:rsidP="00E760B6">
      <w:pPr>
        <w:pStyle w:val="ListParagraph"/>
        <w:rPr>
          <w:bCs/>
        </w:rPr>
      </w:pPr>
    </w:p>
    <w:p w14:paraId="0D9EF9E1" w14:textId="404E9F54" w:rsidR="00CA54F3" w:rsidRDefault="00CA54F3" w:rsidP="00E760B6">
      <w:pPr>
        <w:pStyle w:val="ListParagraph"/>
        <w:numPr>
          <w:ilvl w:val="0"/>
          <w:numId w:val="30"/>
        </w:numPr>
        <w:rPr>
          <w:bCs/>
        </w:rPr>
      </w:pPr>
      <w:r>
        <w:rPr>
          <w:bCs/>
        </w:rPr>
        <w:t>Executed purchase agreements and draft covenants for the acquisition or rehabilitation of market rate units for the purpose of conversion to affordable units, or a combination thereof; or</w:t>
      </w:r>
    </w:p>
    <w:p w14:paraId="6268CABD" w14:textId="77777777" w:rsidR="00CA54F3" w:rsidRPr="00CA54F3" w:rsidRDefault="00CA54F3" w:rsidP="00CA54F3">
      <w:pPr>
        <w:pStyle w:val="ListParagraph"/>
        <w:rPr>
          <w:bCs/>
        </w:rPr>
      </w:pPr>
    </w:p>
    <w:p w14:paraId="7CC2E4D4" w14:textId="2EA36C7F" w:rsidR="00E760B6" w:rsidRPr="00372A80" w:rsidRDefault="00E760B6" w:rsidP="00E760B6">
      <w:pPr>
        <w:pStyle w:val="ListParagraph"/>
        <w:numPr>
          <w:ilvl w:val="0"/>
          <w:numId w:val="30"/>
        </w:numPr>
        <w:rPr>
          <w:bCs/>
        </w:rPr>
      </w:pPr>
      <w:r>
        <w:rPr>
          <w:bCs/>
        </w:rPr>
        <w:t>Other proof of progress at the discretion of the</w:t>
      </w:r>
      <w:r w:rsidR="002B2E0A">
        <w:rPr>
          <w:bCs/>
        </w:rPr>
        <w:t xml:space="preserve"> Monitoring Entity’s</w:t>
      </w:r>
      <w:r>
        <w:rPr>
          <w:bCs/>
        </w:rPr>
        <w:t xml:space="preserve"> Director.</w:t>
      </w:r>
    </w:p>
    <w:p w14:paraId="7C7230E0" w14:textId="47371ECB" w:rsidR="00D07603" w:rsidRDefault="00D07603" w:rsidP="00CA6E4E">
      <w:pPr>
        <w:rPr>
          <w:bCs/>
        </w:rPr>
      </w:pPr>
    </w:p>
    <w:p w14:paraId="28A52BF6" w14:textId="66983625" w:rsidR="00D07603" w:rsidRDefault="00D07603" w:rsidP="00CA6E4E">
      <w:pPr>
        <w:rPr>
          <w:bCs/>
        </w:rPr>
      </w:pPr>
      <w:r>
        <w:rPr>
          <w:b/>
        </w:rPr>
        <w:t>4.</w:t>
      </w:r>
      <w:r w:rsidR="00372A80">
        <w:rPr>
          <w:b/>
        </w:rPr>
        <w:t>5</w:t>
      </w:r>
      <w:r>
        <w:rPr>
          <w:b/>
        </w:rPr>
        <w:tab/>
        <w:t xml:space="preserve">Use of Surplus Funds.  </w:t>
      </w:r>
      <w:r>
        <w:rPr>
          <w:bCs/>
        </w:rPr>
        <w:t xml:space="preserve">Any surplus funds remaining after the </w:t>
      </w:r>
      <w:r w:rsidR="00647C66">
        <w:rPr>
          <w:bCs/>
        </w:rPr>
        <w:t xml:space="preserve">completion of the construction </w:t>
      </w:r>
      <w:r>
        <w:rPr>
          <w:bCs/>
        </w:rPr>
        <w:t xml:space="preserve">of the housing units described in Section 4.1 shall be used at the discretion of </w:t>
      </w:r>
      <w:r w:rsidR="006C4834">
        <w:rPr>
          <w:bCs/>
        </w:rPr>
        <w:t>City</w:t>
      </w:r>
      <w:r>
        <w:rPr>
          <w:bCs/>
        </w:rPr>
        <w:t xml:space="preserve"> for the production or acquisition of rental or for-sale housing affordable to persons and families of </w:t>
      </w:r>
      <w:r w:rsidR="00B95ADF" w:rsidRPr="00BC2890">
        <w:rPr>
          <w:bCs/>
        </w:rPr>
        <w:t>very-low,</w:t>
      </w:r>
      <w:r w:rsidR="00B95ADF">
        <w:rPr>
          <w:bCs/>
        </w:rPr>
        <w:t xml:space="preserve"> </w:t>
      </w:r>
      <w:r>
        <w:rPr>
          <w:bCs/>
        </w:rPr>
        <w:t>low or moderate-income, as defined by Health and Safety Code section 50093.</w:t>
      </w:r>
    </w:p>
    <w:p w14:paraId="0ACB3CFB" w14:textId="0616300D" w:rsidR="00372A80" w:rsidRDefault="00372A80" w:rsidP="00CA6E4E">
      <w:pPr>
        <w:rPr>
          <w:bCs/>
        </w:rPr>
      </w:pPr>
    </w:p>
    <w:p w14:paraId="383F7F44" w14:textId="3FBD48B2" w:rsidR="00F241E5" w:rsidRDefault="00EE05C1" w:rsidP="00A14517">
      <w:pPr>
        <w:rPr>
          <w:b/>
          <w:bCs/>
        </w:rPr>
      </w:pPr>
      <w:r>
        <w:rPr>
          <w:b/>
          <w:bCs/>
        </w:rPr>
        <w:t xml:space="preserve">Section </w:t>
      </w:r>
      <w:r w:rsidR="00C92647">
        <w:rPr>
          <w:b/>
          <w:bCs/>
        </w:rPr>
        <w:t>5</w:t>
      </w:r>
      <w:r>
        <w:rPr>
          <w:b/>
          <w:bCs/>
        </w:rPr>
        <w:t>.</w:t>
      </w:r>
      <w:r w:rsidR="00F241E5">
        <w:rPr>
          <w:b/>
          <w:bCs/>
        </w:rPr>
        <w:tab/>
        <w:t>Termination.</w:t>
      </w:r>
    </w:p>
    <w:p w14:paraId="5C87CF18" w14:textId="77777777" w:rsidR="00F241E5" w:rsidRDefault="00F241E5" w:rsidP="00A14517">
      <w:pPr>
        <w:rPr>
          <w:b/>
          <w:bCs/>
        </w:rPr>
      </w:pPr>
    </w:p>
    <w:p w14:paraId="26141F4F" w14:textId="4EBA6338" w:rsidR="00F241E5" w:rsidRDefault="00C92647" w:rsidP="00A14517">
      <w:r>
        <w:rPr>
          <w:b/>
          <w:bCs/>
        </w:rPr>
        <w:t>5</w:t>
      </w:r>
      <w:r w:rsidR="00F241E5">
        <w:rPr>
          <w:b/>
          <w:bCs/>
        </w:rPr>
        <w:t>.1</w:t>
      </w:r>
      <w:r w:rsidR="00F241E5">
        <w:rPr>
          <w:b/>
          <w:bCs/>
        </w:rPr>
        <w:tab/>
        <w:t xml:space="preserve">Termination of Use and Resale Covenant. </w:t>
      </w:r>
      <w:r w:rsidR="00F241E5">
        <w:t xml:space="preserve">This Use and Resale Covenant shall </w:t>
      </w:r>
      <w:r>
        <w:t>cease to encumber the Property upon resale pursuant to Section 3.1</w:t>
      </w:r>
      <w:r w:rsidR="004C6F75">
        <w:t xml:space="preserve"> </w:t>
      </w:r>
      <w:r w:rsidR="004C6F75" w:rsidRPr="00BC2890">
        <w:t>and the parties agree to execute and record a Release of the Declaration of Covenants, Conditions, and Restrictions within seven days of resale of the property</w:t>
      </w:r>
      <w:r w:rsidRPr="00BC2890">
        <w:t>.</w:t>
      </w:r>
      <w:r>
        <w:t xml:space="preserve"> </w:t>
      </w:r>
      <w:r w:rsidR="004C6F75">
        <w:t xml:space="preserve"> </w:t>
      </w:r>
      <w:r>
        <w:t>However, the terms of the Use an</w:t>
      </w:r>
      <w:r w:rsidR="00620CF9">
        <w:t>d</w:t>
      </w:r>
      <w:r>
        <w:t xml:space="preserve"> Resale Covenant shall remain enforceable</w:t>
      </w:r>
      <w:r w:rsidR="00900108">
        <w:t xml:space="preserve"> under applicable law and</w:t>
      </w:r>
      <w:r>
        <w:t xml:space="preserve"> as a contract between </w:t>
      </w:r>
      <w:r w:rsidR="00950F6C">
        <w:t xml:space="preserve">Monitoring Entity </w:t>
      </w:r>
      <w:r>
        <w:t xml:space="preserve">and </w:t>
      </w:r>
      <w:r w:rsidR="006C4834">
        <w:t>City</w:t>
      </w:r>
      <w:r>
        <w:t xml:space="preserve"> to ensure </w:t>
      </w:r>
      <w:r w:rsidR="00A04550">
        <w:t xml:space="preserve">compliance </w:t>
      </w:r>
      <w:r w:rsidR="00605495">
        <w:t>of Section</w:t>
      </w:r>
      <w:r>
        <w:t>s</w:t>
      </w:r>
      <w:r w:rsidR="00605495">
        <w:t xml:space="preserve"> 4.</w:t>
      </w:r>
      <w:r>
        <w:t>1 through 4.5</w:t>
      </w:r>
      <w:r w:rsidR="003F5A46">
        <w:t>.</w:t>
      </w:r>
      <w:r>
        <w:t xml:space="preserve"> </w:t>
      </w:r>
    </w:p>
    <w:p w14:paraId="6E4BCA18" w14:textId="77777777" w:rsidR="00EE05C1" w:rsidRPr="00EE05C1" w:rsidRDefault="00EE05C1" w:rsidP="00040D93">
      <w:pPr>
        <w:pStyle w:val="ListParagraph"/>
        <w:numPr>
          <w:ilvl w:val="0"/>
          <w:numId w:val="3"/>
        </w:numPr>
        <w:rPr>
          <w:b/>
          <w:bCs/>
          <w:vanish/>
        </w:rPr>
      </w:pPr>
    </w:p>
    <w:p w14:paraId="16D9F164" w14:textId="77777777" w:rsidR="00E8549D" w:rsidRDefault="00E8549D" w:rsidP="000447DD">
      <w:pPr>
        <w:rPr>
          <w:b/>
          <w:bCs/>
        </w:rPr>
      </w:pPr>
    </w:p>
    <w:p w14:paraId="22A03CD5" w14:textId="270A4FEF" w:rsidR="00DF71F9" w:rsidRDefault="00DF71F9" w:rsidP="000447DD">
      <w:pPr>
        <w:rPr>
          <w:b/>
          <w:bCs/>
        </w:rPr>
      </w:pPr>
      <w:r>
        <w:rPr>
          <w:b/>
          <w:bCs/>
        </w:rPr>
        <w:t xml:space="preserve">Section </w:t>
      </w:r>
      <w:r w:rsidR="00A04550">
        <w:rPr>
          <w:b/>
          <w:bCs/>
        </w:rPr>
        <w:t>6</w:t>
      </w:r>
      <w:r>
        <w:rPr>
          <w:b/>
          <w:bCs/>
        </w:rPr>
        <w:t>.</w:t>
      </w:r>
      <w:r>
        <w:rPr>
          <w:b/>
          <w:bCs/>
        </w:rPr>
        <w:tab/>
        <w:t>Default and Remedies.</w:t>
      </w:r>
    </w:p>
    <w:p w14:paraId="784A72A5" w14:textId="77777777" w:rsidR="00DF71F9" w:rsidRDefault="00DF71F9">
      <w:pPr>
        <w:ind w:firstLine="900"/>
      </w:pPr>
    </w:p>
    <w:p w14:paraId="5B1D17C7" w14:textId="0F1B5FEE" w:rsidR="00DF71F9" w:rsidRDefault="00A04550" w:rsidP="00E8549D">
      <w:r>
        <w:rPr>
          <w:b/>
          <w:bCs/>
        </w:rPr>
        <w:t>6</w:t>
      </w:r>
      <w:r w:rsidR="009750AD">
        <w:rPr>
          <w:b/>
          <w:bCs/>
        </w:rPr>
        <w:t>.1</w:t>
      </w:r>
      <w:r w:rsidR="009750AD">
        <w:rPr>
          <w:b/>
          <w:bCs/>
        </w:rPr>
        <w:tab/>
      </w:r>
      <w:r w:rsidR="00DF71F9">
        <w:rPr>
          <w:b/>
          <w:bCs/>
        </w:rPr>
        <w:t>Event of Default.</w:t>
      </w:r>
      <w:r w:rsidR="00DF71F9">
        <w:t xml:space="preserve">  The occurrence of any one of the following events or circumstances shall constitute an “</w:t>
      </w:r>
      <w:r w:rsidR="00DF71F9" w:rsidRPr="005C205E">
        <w:rPr>
          <w:b/>
          <w:i/>
        </w:rPr>
        <w:t>Event of Default</w:t>
      </w:r>
      <w:r w:rsidR="00DF71F9">
        <w:t xml:space="preserve">” by </w:t>
      </w:r>
      <w:r w:rsidR="006C4834">
        <w:t>City</w:t>
      </w:r>
      <w:r w:rsidR="00DF71F9">
        <w:t xml:space="preserve"> under this </w:t>
      </w:r>
      <w:r w:rsidR="000C670C">
        <w:t>Use and Resale Covenant</w:t>
      </w:r>
      <w:r w:rsidR="00DF71F9">
        <w:t>.</w:t>
      </w:r>
    </w:p>
    <w:p w14:paraId="65811797" w14:textId="26283E5F" w:rsidR="00A04550" w:rsidRDefault="00A04550" w:rsidP="00E8549D"/>
    <w:p w14:paraId="70ED8CFD" w14:textId="7DB8914D" w:rsidR="00A04550" w:rsidRDefault="006C4834" w:rsidP="00A04550">
      <w:pPr>
        <w:pStyle w:val="ListParagraph"/>
        <w:numPr>
          <w:ilvl w:val="0"/>
          <w:numId w:val="29"/>
        </w:numPr>
      </w:pPr>
      <w:r>
        <w:t>City</w:t>
      </w:r>
      <w:r w:rsidR="00A04550">
        <w:t xml:space="preserve">’s failure to comply with the requirements in Sections 4.1 through 4.5, or Section 3.2, as applicable. </w:t>
      </w:r>
    </w:p>
    <w:p w14:paraId="2CAB2E1C" w14:textId="1D89D806" w:rsidR="00E760B6" w:rsidRDefault="00E760B6" w:rsidP="00E760B6"/>
    <w:p w14:paraId="4C3130C0" w14:textId="241E18F6" w:rsidR="00E760B6" w:rsidRDefault="00E760B6" w:rsidP="00E760B6">
      <w:pPr>
        <w:pStyle w:val="ListParagraph"/>
        <w:numPr>
          <w:ilvl w:val="0"/>
          <w:numId w:val="29"/>
        </w:numPr>
      </w:pPr>
      <w:r>
        <w:t>City’s failure to comply with Government Code section 54239.</w:t>
      </w:r>
      <w:r w:rsidR="00B705D0">
        <w:t>5</w:t>
      </w:r>
      <w:r>
        <w:t>, subdivision (b)(</w:t>
      </w:r>
      <w:r w:rsidR="00B705D0">
        <w:t>9</w:t>
      </w:r>
      <w:r>
        <w:t xml:space="preserve">). </w:t>
      </w:r>
    </w:p>
    <w:p w14:paraId="462F00CF" w14:textId="77777777" w:rsidR="00E760B6" w:rsidRDefault="00E760B6" w:rsidP="00E760B6">
      <w:pPr>
        <w:pStyle w:val="ListParagraph"/>
      </w:pPr>
    </w:p>
    <w:p w14:paraId="032E2C9C" w14:textId="4836BFD2" w:rsidR="00E760B6" w:rsidRDefault="00E760B6" w:rsidP="00CA54F3">
      <w:pPr>
        <w:pStyle w:val="ListParagraph"/>
        <w:numPr>
          <w:ilvl w:val="0"/>
          <w:numId w:val="29"/>
        </w:numPr>
      </w:pPr>
      <w:r>
        <w:t>City’s failure to comply with Government Code section 54239.</w:t>
      </w:r>
      <w:r w:rsidR="00B705D0">
        <w:t>5</w:t>
      </w:r>
      <w:r>
        <w:t>, subdivision (b)(1</w:t>
      </w:r>
      <w:r w:rsidR="00BE7FC2">
        <w:t>0</w:t>
      </w:r>
      <w:r w:rsidR="006D45B5">
        <w:t>)</w:t>
      </w:r>
      <w:r>
        <w:t xml:space="preserve">. </w:t>
      </w:r>
    </w:p>
    <w:p w14:paraId="23C94BFC" w14:textId="77777777" w:rsidR="00DF71F9" w:rsidRDefault="00DF71F9" w:rsidP="001F106F"/>
    <w:p w14:paraId="7C74BE43" w14:textId="64240E52" w:rsidR="00DF71F9" w:rsidRDefault="00A04550" w:rsidP="00E8549D">
      <w:r>
        <w:rPr>
          <w:b/>
          <w:bCs/>
        </w:rPr>
        <w:t>6</w:t>
      </w:r>
      <w:r w:rsidR="009750AD">
        <w:rPr>
          <w:b/>
          <w:bCs/>
        </w:rPr>
        <w:t>.2</w:t>
      </w:r>
      <w:r w:rsidR="009750AD">
        <w:rPr>
          <w:b/>
          <w:bCs/>
        </w:rPr>
        <w:tab/>
      </w:r>
      <w:r w:rsidR="00DF71F9">
        <w:rPr>
          <w:b/>
          <w:bCs/>
        </w:rPr>
        <w:t xml:space="preserve">Remedies.  </w:t>
      </w:r>
      <w:r w:rsidR="00DF71F9">
        <w:t xml:space="preserve">Upon the occurrence of an Event of Default by </w:t>
      </w:r>
      <w:r w:rsidR="006C4834">
        <w:t>City</w:t>
      </w:r>
      <w:r w:rsidR="00DF71F9">
        <w:t xml:space="preserve">, </w:t>
      </w:r>
      <w:r w:rsidR="00E8549D">
        <w:t>the Monitoring Entity</w:t>
      </w:r>
      <w:r w:rsidR="00712ABF">
        <w:t xml:space="preserve"> </w:t>
      </w:r>
      <w:r w:rsidR="00DF71F9">
        <w:t>may exercise the remed</w:t>
      </w:r>
      <w:r w:rsidR="00900108">
        <w:t>y</w:t>
      </w:r>
      <w:r w:rsidR="00DF71F9">
        <w:t xml:space="preserve"> set forth below: </w:t>
      </w:r>
    </w:p>
    <w:p w14:paraId="25B407A1" w14:textId="77777777" w:rsidR="00DF71F9" w:rsidRDefault="00DF71F9" w:rsidP="001F106F">
      <w:pPr>
        <w:pStyle w:val="Header"/>
        <w:tabs>
          <w:tab w:val="clear" w:pos="4320"/>
          <w:tab w:val="clear" w:pos="8640"/>
        </w:tabs>
        <w:ind w:firstLine="720"/>
      </w:pPr>
    </w:p>
    <w:p w14:paraId="4A4CA118" w14:textId="32BF2B82" w:rsidR="00CA54F3" w:rsidRDefault="00E760B6" w:rsidP="0084089D">
      <w:r>
        <w:t xml:space="preserve">The City shall pay a fine to the Monitoring Entity of an amount equal to the funds generated through the </w:t>
      </w:r>
      <w:r w:rsidR="00D43B54">
        <w:t>re</w:t>
      </w:r>
      <w:r>
        <w:t>sale of the Property</w:t>
      </w:r>
      <w:r w:rsidR="00D43B54">
        <w:t>, pursuant to Section 3.1</w:t>
      </w:r>
      <w:r>
        <w:t xml:space="preserve"> minus the purchase price described in </w:t>
      </w:r>
      <w:r>
        <w:lastRenderedPageBreak/>
        <w:t xml:space="preserve">Section 1.1. </w:t>
      </w:r>
      <w:r w:rsidR="005763CA">
        <w:t xml:space="preserve"> </w:t>
      </w:r>
      <w:r w:rsidR="00900108" w:rsidRPr="002A7B21">
        <w:t xml:space="preserve">Fines shall be deposited into an account held by the </w:t>
      </w:r>
      <w:r w:rsidR="00900108">
        <w:t>Monitoring Entity</w:t>
      </w:r>
      <w:r w:rsidR="00900108" w:rsidRPr="002A7B21">
        <w:t xml:space="preserve"> </w:t>
      </w:r>
      <w:r w:rsidR="00900108">
        <w:t>pursuant to Government Code section 54239.</w:t>
      </w:r>
      <w:r w:rsidR="00BE7FC2">
        <w:t>5</w:t>
      </w:r>
      <w:r w:rsidR="00900108">
        <w:t>(b)(1</w:t>
      </w:r>
      <w:r w:rsidR="00BE7FC2">
        <w:t>1</w:t>
      </w:r>
      <w:r w:rsidR="00900108">
        <w:t xml:space="preserve">).   </w:t>
      </w:r>
    </w:p>
    <w:p w14:paraId="5505B351" w14:textId="77777777" w:rsidR="00741007" w:rsidRDefault="00741007" w:rsidP="00741007"/>
    <w:p w14:paraId="53C196D4" w14:textId="2230D8B2" w:rsidR="00CA54F3" w:rsidRPr="00CA54F3" w:rsidRDefault="00CA54F3" w:rsidP="00CA54F3">
      <w:r>
        <w:rPr>
          <w:b/>
          <w:bCs/>
        </w:rPr>
        <w:t>6.3</w:t>
      </w:r>
      <w:r>
        <w:rPr>
          <w:b/>
          <w:bCs/>
        </w:rPr>
        <w:tab/>
        <w:t>Not Subject to Appeal.</w:t>
      </w:r>
      <w:r>
        <w:t xml:space="preserve">  Pursuant to Government Code section 54239.</w:t>
      </w:r>
      <w:r w:rsidR="00BE7FC2">
        <w:t>5</w:t>
      </w:r>
      <w:r>
        <w:t>(b)(</w:t>
      </w:r>
      <w:r w:rsidR="00B705D0">
        <w:t>14</w:t>
      </w:r>
      <w:r>
        <w:t xml:space="preserve">), an Event of Default shall be determined by the Monitoring Entity and is not subject to appeal.  </w:t>
      </w:r>
    </w:p>
    <w:p w14:paraId="54349857" w14:textId="109728C4" w:rsidR="00C01438" w:rsidRDefault="00C01438" w:rsidP="001F106F">
      <w:pPr>
        <w:ind w:left="900"/>
      </w:pPr>
    </w:p>
    <w:p w14:paraId="5E2B6C97" w14:textId="1B5F63D9" w:rsidR="00DF71F9" w:rsidRDefault="00DF71F9" w:rsidP="00A14517">
      <w:pPr>
        <w:rPr>
          <w:b/>
          <w:bCs/>
        </w:rPr>
      </w:pPr>
      <w:r>
        <w:rPr>
          <w:b/>
          <w:bCs/>
        </w:rPr>
        <w:t xml:space="preserve">Section </w:t>
      </w:r>
      <w:r w:rsidR="00A04550">
        <w:rPr>
          <w:b/>
          <w:bCs/>
        </w:rPr>
        <w:t>7</w:t>
      </w:r>
      <w:r>
        <w:rPr>
          <w:b/>
          <w:bCs/>
        </w:rPr>
        <w:t>.</w:t>
      </w:r>
      <w:r>
        <w:rPr>
          <w:b/>
          <w:bCs/>
        </w:rPr>
        <w:tab/>
        <w:t>Miscellaneous.</w:t>
      </w:r>
    </w:p>
    <w:p w14:paraId="42F1D08B" w14:textId="77777777" w:rsidR="00DF71F9" w:rsidRDefault="00DF71F9" w:rsidP="00A14517"/>
    <w:p w14:paraId="51DA4FB8" w14:textId="0EA05D8C" w:rsidR="00004C17" w:rsidRDefault="00A04550" w:rsidP="00A14517">
      <w:r>
        <w:rPr>
          <w:b/>
          <w:bCs/>
        </w:rPr>
        <w:t>7</w:t>
      </w:r>
      <w:r w:rsidR="00A81FDE">
        <w:rPr>
          <w:b/>
          <w:bCs/>
        </w:rPr>
        <w:t>.1</w:t>
      </w:r>
      <w:r w:rsidR="00A81FDE">
        <w:rPr>
          <w:b/>
          <w:bCs/>
        </w:rPr>
        <w:tab/>
      </w:r>
      <w:r w:rsidR="00004C17" w:rsidRPr="00972FD1">
        <w:rPr>
          <w:b/>
        </w:rPr>
        <w:t>Nondiscrimination.</w:t>
      </w:r>
      <w:r w:rsidR="00004C17">
        <w:t xml:space="preserve">  </w:t>
      </w:r>
      <w:r w:rsidR="00922791">
        <w:t xml:space="preserve">City covenants by and for itself and its successors and assigns that there shall be no discrimination against or segregation of a person or a group of persons on account of </w:t>
      </w:r>
      <w:r w:rsidR="00922791" w:rsidRPr="00791714">
        <w:t xml:space="preserve">sex, race, color, religion, ancestry, national origin, ethnic group identification, age, mental disability, physical disability, medical condition, genetic information, marital status, </w:t>
      </w:r>
      <w:r w:rsidR="00922791">
        <w:t xml:space="preserve">gender, gender identity, gender expression, familial status, source of income, veteran or military status, </w:t>
      </w:r>
      <w:r w:rsidR="00922791" w:rsidRPr="00791714">
        <w:t>or sexual orientation</w:t>
      </w:r>
      <w:r w:rsidR="00922791">
        <w:t xml:space="preserve"> in the </w:t>
      </w:r>
      <w:r w:rsidR="00987111">
        <w:t>t</w:t>
      </w:r>
      <w:r w:rsidR="00922791">
        <w:t xml:space="preserve">ransfer, use, or occupancy of the Property, nor shall City, any person claiming under or through City, establish or permit any such practice or practices of discrimination or segregation with reference to the use, occupancy, or </w:t>
      </w:r>
      <w:r w:rsidR="0053505B">
        <w:t>t</w:t>
      </w:r>
      <w:r w:rsidR="00922791">
        <w:t>ransfer of the Property.</w:t>
      </w:r>
    </w:p>
    <w:p w14:paraId="3F311CE9" w14:textId="77777777" w:rsidR="00DF71F9" w:rsidRDefault="00DF71F9" w:rsidP="00A14517">
      <w:pPr>
        <w:ind w:firstLine="720"/>
      </w:pPr>
    </w:p>
    <w:p w14:paraId="4A18FA84" w14:textId="6BDF6FFD" w:rsidR="00DF71F9" w:rsidRDefault="00A04550" w:rsidP="00A17884">
      <w:r>
        <w:rPr>
          <w:b/>
          <w:bCs/>
        </w:rPr>
        <w:t>7</w:t>
      </w:r>
      <w:r w:rsidR="00A81FDE">
        <w:rPr>
          <w:b/>
          <w:bCs/>
        </w:rPr>
        <w:t>.</w:t>
      </w:r>
      <w:r w:rsidR="006D52AC">
        <w:rPr>
          <w:b/>
          <w:bCs/>
        </w:rPr>
        <w:t>2</w:t>
      </w:r>
      <w:r w:rsidR="00A81FDE">
        <w:rPr>
          <w:b/>
          <w:bCs/>
        </w:rPr>
        <w:tab/>
      </w:r>
      <w:r w:rsidR="00DF71F9">
        <w:rPr>
          <w:b/>
          <w:bCs/>
        </w:rPr>
        <w:t>Notices.</w:t>
      </w:r>
      <w:r w:rsidR="00DF71F9">
        <w:t xml:space="preserve">  </w:t>
      </w:r>
      <w:r w:rsidR="00922791">
        <w:t>Notice</w:t>
      </w:r>
      <w:r w:rsidR="00DF71F9">
        <w:t xml:space="preserve"> shall be in writing and sufficiently given or delivered if transmitted by (a) registered or certified United States mail, postage prepaid, return receipt requested, (b) personal delivery, or (c) nationally recognized private courier services, in every case addressed as follows:</w:t>
      </w:r>
    </w:p>
    <w:p w14:paraId="26473CD7" w14:textId="77777777" w:rsidR="00DF71F9" w:rsidRDefault="00DF71F9" w:rsidP="00A14517">
      <w:pPr>
        <w:ind w:left="3600" w:hanging="2160"/>
      </w:pPr>
    </w:p>
    <w:p w14:paraId="15F5CE83" w14:textId="300B44FC" w:rsidR="00DF71F9" w:rsidRDefault="00DF71F9" w:rsidP="00A14517">
      <w:r>
        <w:t xml:space="preserve">If to </w:t>
      </w:r>
      <w:r w:rsidR="006C4834">
        <w:t>City</w:t>
      </w:r>
      <w:r>
        <w:t>:</w:t>
      </w:r>
      <w:r>
        <w:tab/>
      </w:r>
      <w:r>
        <w:tab/>
      </w:r>
      <w:r w:rsidR="00C12DA8">
        <w:tab/>
      </w:r>
      <w:r w:rsidR="003F643D">
        <w:tab/>
      </w:r>
      <w:r w:rsidR="005500D6">
        <w:t>[to be inserted]</w:t>
      </w:r>
    </w:p>
    <w:p w14:paraId="1200393B" w14:textId="4A8EC972" w:rsidR="00080676" w:rsidRDefault="00080676" w:rsidP="00A14517"/>
    <w:p w14:paraId="62D3058F" w14:textId="599A1692" w:rsidR="00A17884" w:rsidRPr="00BC2890" w:rsidRDefault="00A17884" w:rsidP="00A14517">
      <w:r>
        <w:t>If to the Monitoring Entity</w:t>
      </w:r>
      <w:r>
        <w:tab/>
      </w:r>
      <w:r>
        <w:tab/>
      </w:r>
      <w:r w:rsidR="005763CA" w:rsidRPr="00BC2890">
        <w:t>California Department of Housing and</w:t>
      </w:r>
    </w:p>
    <w:p w14:paraId="4010BAE1" w14:textId="1916E4ED" w:rsidR="005763CA" w:rsidRPr="00BC2890" w:rsidRDefault="005763CA" w:rsidP="00A14517">
      <w:r w:rsidRPr="00BC2890">
        <w:tab/>
      </w:r>
      <w:r w:rsidRPr="00BC2890">
        <w:tab/>
      </w:r>
      <w:r w:rsidRPr="00BC2890">
        <w:tab/>
      </w:r>
      <w:r w:rsidRPr="00BC2890">
        <w:tab/>
      </w:r>
      <w:r w:rsidRPr="00BC2890">
        <w:tab/>
        <w:t>Community Development</w:t>
      </w:r>
    </w:p>
    <w:p w14:paraId="4D90E7A5" w14:textId="63F93B98" w:rsidR="005763CA" w:rsidRPr="00BC2890" w:rsidRDefault="005763CA" w:rsidP="00A14517">
      <w:r w:rsidRPr="00BC2890">
        <w:tab/>
      </w:r>
      <w:r w:rsidRPr="00BC2890">
        <w:tab/>
      </w:r>
      <w:r w:rsidRPr="00BC2890">
        <w:tab/>
      </w:r>
      <w:r w:rsidRPr="00BC2890">
        <w:tab/>
      </w:r>
      <w:r w:rsidRPr="00BC2890">
        <w:tab/>
        <w:t>P.O. Box 952052</w:t>
      </w:r>
    </w:p>
    <w:p w14:paraId="3100A48C" w14:textId="6F31E915" w:rsidR="005763CA" w:rsidRPr="00BC2890" w:rsidRDefault="005763CA" w:rsidP="00A14517">
      <w:r w:rsidRPr="00BC2890">
        <w:tab/>
      </w:r>
      <w:r w:rsidRPr="00BC2890">
        <w:tab/>
      </w:r>
      <w:r w:rsidRPr="00BC2890">
        <w:tab/>
      </w:r>
      <w:r w:rsidRPr="00BC2890">
        <w:tab/>
      </w:r>
      <w:r w:rsidRPr="00BC2890">
        <w:tab/>
        <w:t>Sacramento, CA  94252-2052</w:t>
      </w:r>
    </w:p>
    <w:p w14:paraId="1D5AFD7E" w14:textId="7BDED740" w:rsidR="005763CA" w:rsidRPr="00BC2890" w:rsidRDefault="005763CA" w:rsidP="00A14517">
      <w:r w:rsidRPr="00BC2890">
        <w:tab/>
      </w:r>
      <w:r w:rsidRPr="00BC2890">
        <w:tab/>
      </w:r>
      <w:r w:rsidRPr="00BC2890">
        <w:tab/>
      </w:r>
      <w:r w:rsidRPr="00BC2890">
        <w:tab/>
      </w:r>
      <w:r w:rsidRPr="00BC2890">
        <w:tab/>
        <w:t>Attn:  General Counsel</w:t>
      </w:r>
    </w:p>
    <w:p w14:paraId="6D5219FE" w14:textId="77777777" w:rsidR="00A17884" w:rsidRDefault="00A17884" w:rsidP="00A14517"/>
    <w:p w14:paraId="4B2A4F64" w14:textId="5DD427BF" w:rsidR="00DF71F9" w:rsidRDefault="00DF71F9" w:rsidP="00A14517">
      <w:r>
        <w:t xml:space="preserve">Any such Notice transmitted in accordance with this Section </w:t>
      </w:r>
      <w:r w:rsidR="006D52AC">
        <w:t>7</w:t>
      </w:r>
      <w:r>
        <w:t>.</w:t>
      </w:r>
      <w:r w:rsidR="006D52AC">
        <w:t>2</w:t>
      </w:r>
      <w:r w:rsidR="00004C17">
        <w:t xml:space="preserve"> </w:t>
      </w:r>
      <w:r>
        <w:t xml:space="preserve">shall be deemed delivered upon receipt, or upon the date delivery was refused. Any party may change its address for notices by written Notice given to the other party in accordance with the provisions of this Section </w:t>
      </w:r>
      <w:r w:rsidR="00A04550">
        <w:t>7</w:t>
      </w:r>
      <w:r>
        <w:t>.</w:t>
      </w:r>
      <w:r w:rsidR="006D52AC">
        <w:t>2</w:t>
      </w:r>
      <w:r>
        <w:t>.</w:t>
      </w:r>
    </w:p>
    <w:p w14:paraId="313494EF" w14:textId="77777777" w:rsidR="00DF71F9" w:rsidRDefault="00DF71F9" w:rsidP="0044503E">
      <w:pPr>
        <w:ind w:firstLine="720"/>
      </w:pPr>
    </w:p>
    <w:p w14:paraId="6F9BB146" w14:textId="0A101ADB" w:rsidR="00DF71F9" w:rsidRDefault="00A04550" w:rsidP="000E6E08">
      <w:r>
        <w:rPr>
          <w:b/>
        </w:rPr>
        <w:t>7</w:t>
      </w:r>
      <w:r w:rsidR="00A81FDE">
        <w:rPr>
          <w:b/>
        </w:rPr>
        <w:t>.</w:t>
      </w:r>
      <w:r w:rsidR="006D52AC">
        <w:rPr>
          <w:b/>
        </w:rPr>
        <w:t>3</w:t>
      </w:r>
      <w:r w:rsidR="00A81FDE">
        <w:rPr>
          <w:b/>
        </w:rPr>
        <w:tab/>
      </w:r>
      <w:r w:rsidR="00DF71F9">
        <w:rPr>
          <w:b/>
        </w:rPr>
        <w:t>Attorneys’ Fees for Enforcement</w:t>
      </w:r>
      <w:r w:rsidR="00DF71F9">
        <w:t xml:space="preserve">.  If any action or legal proceeding is instituted by </w:t>
      </w:r>
      <w:r w:rsidR="006C4834">
        <w:t>City</w:t>
      </w:r>
      <w:r w:rsidR="00DF71F9">
        <w:t xml:space="preserve"> or </w:t>
      </w:r>
      <w:r w:rsidR="000E6E08">
        <w:t>the Monitoring Entity</w:t>
      </w:r>
      <w:r w:rsidR="00DF71F9">
        <w:t xml:space="preserve"> arising out of this </w:t>
      </w:r>
      <w:r w:rsidR="000C670C">
        <w:t>Use and Resale Covenant</w:t>
      </w:r>
      <w:r w:rsidR="00DF71F9">
        <w:t xml:space="preserve">, the prevailing party therein shall recover reasonable attorneys’ fees and costs in connection with such action or proceeding.  For purposes of this </w:t>
      </w:r>
      <w:r w:rsidR="000C670C">
        <w:t>Use and Resale Covenant</w:t>
      </w:r>
      <w:r w:rsidR="00DF71F9">
        <w:t>, reasonable fees</w:t>
      </w:r>
      <w:r w:rsidR="004C6F75">
        <w:t xml:space="preserve"> </w:t>
      </w:r>
      <w:r w:rsidR="004C6F75" w:rsidRPr="00BC2890">
        <w:t>for the Monitoring Entity</w:t>
      </w:r>
      <w:r w:rsidR="00AC6FE9">
        <w:t xml:space="preserve"> include</w:t>
      </w:r>
      <w:r w:rsidR="00922791">
        <w:t xml:space="preserve"> the fees and</w:t>
      </w:r>
      <w:r w:rsidR="00AC6FE9">
        <w:t xml:space="preserve"> costs of </w:t>
      </w:r>
      <w:r w:rsidR="00DF71F9">
        <w:t>any in-house counsel f</w:t>
      </w:r>
      <w:r w:rsidR="005F7762">
        <w:t xml:space="preserve">or </w:t>
      </w:r>
      <w:r w:rsidR="000E6E08">
        <w:t>the Monitoring Entity,</w:t>
      </w:r>
      <w:r w:rsidR="00AC6FE9">
        <w:t xml:space="preserve"> which</w:t>
      </w:r>
      <w:r w:rsidR="00712ABF">
        <w:t xml:space="preserve"> </w:t>
      </w:r>
      <w:r w:rsidR="005F7762">
        <w:t xml:space="preserve">shall be based on: (i) the employee’s hourly rate on the employee’s salary, (ii) forty-one and eight-tenths percent (41.8%) of the employee’s hourly salary rate to reflect non-salary direct and indirect costs, and (iii) five percent (5%) of the employee’s hourly salary rate to reflect central service costs.  </w:t>
      </w:r>
    </w:p>
    <w:p w14:paraId="42ECACBC" w14:textId="77777777" w:rsidR="00DF71F9" w:rsidRDefault="00DF71F9" w:rsidP="0044503E">
      <w:pPr>
        <w:pStyle w:val="BodyText"/>
        <w:spacing w:line="240" w:lineRule="auto"/>
        <w:ind w:firstLine="720"/>
      </w:pPr>
    </w:p>
    <w:p w14:paraId="0CAB8E21" w14:textId="3FE1379B" w:rsidR="00DF71F9" w:rsidRDefault="00A04550" w:rsidP="000E6E08">
      <w:r>
        <w:rPr>
          <w:b/>
        </w:rPr>
        <w:t>7</w:t>
      </w:r>
      <w:r w:rsidR="00DF71F9">
        <w:rPr>
          <w:b/>
        </w:rPr>
        <w:t>.</w:t>
      </w:r>
      <w:r w:rsidR="00AB064D">
        <w:rPr>
          <w:b/>
        </w:rPr>
        <w:t>4</w:t>
      </w:r>
      <w:r w:rsidR="00DF71F9">
        <w:rPr>
          <w:b/>
        </w:rPr>
        <w:tab/>
        <w:t>Integration</w:t>
      </w:r>
      <w:r w:rsidR="00DF71F9">
        <w:rPr>
          <w:bCs/>
        </w:rPr>
        <w:t xml:space="preserve">.  </w:t>
      </w:r>
      <w:r w:rsidR="00DF71F9">
        <w:t xml:space="preserve">This </w:t>
      </w:r>
      <w:r w:rsidR="000C670C">
        <w:t>Use and Resale Covenant</w:t>
      </w:r>
      <w:r w:rsidR="00DF71F9">
        <w:t xml:space="preserve"> constitutes an integration of the entire understanding and agreement of </w:t>
      </w:r>
      <w:r w:rsidR="000E6E08">
        <w:t xml:space="preserve">Caltrans, </w:t>
      </w:r>
      <w:r w:rsidR="006C4834">
        <w:t>City</w:t>
      </w:r>
      <w:r w:rsidR="000E6E08">
        <w:t>,</w:t>
      </w:r>
      <w:r w:rsidR="00DF71F9">
        <w:t xml:space="preserve"> and </w:t>
      </w:r>
      <w:r w:rsidR="000E6E08">
        <w:t>the Monitoring Entity</w:t>
      </w:r>
      <w:r w:rsidR="00712ABF">
        <w:t xml:space="preserve"> </w:t>
      </w:r>
      <w:r w:rsidR="00DF71F9">
        <w:t xml:space="preserve">with respect to the subject matter hereof. Any representations, warranties, promises, or conditions, whether written </w:t>
      </w:r>
      <w:r w:rsidR="00DF71F9">
        <w:lastRenderedPageBreak/>
        <w:t xml:space="preserve">or oral, not specifically and expressly incorporated in this </w:t>
      </w:r>
      <w:r w:rsidR="000C670C">
        <w:t>Use and Resale Covenant</w:t>
      </w:r>
      <w:r w:rsidR="00DF71F9">
        <w:t xml:space="preserve">, shall not be binding on any of the parties, and </w:t>
      </w:r>
      <w:r w:rsidR="006C4834">
        <w:t>City</w:t>
      </w:r>
      <w:r w:rsidR="00DF71F9">
        <w:t xml:space="preserve"> and </w:t>
      </w:r>
      <w:r w:rsidR="000E6E08">
        <w:t>the Monitoring Entity</w:t>
      </w:r>
      <w:r w:rsidR="00712ABF">
        <w:t xml:space="preserve"> </w:t>
      </w:r>
      <w:r w:rsidR="00DF71F9">
        <w:t xml:space="preserve">each acknowledge that in entering into this </w:t>
      </w:r>
      <w:r w:rsidR="000C670C">
        <w:t>Use and Resale Covenant</w:t>
      </w:r>
      <w:r w:rsidR="00922791">
        <w:t xml:space="preserve"> they have not relied</w:t>
      </w:r>
      <w:r w:rsidR="00DF71F9">
        <w:t xml:space="preserve"> </w:t>
      </w:r>
      <w:r w:rsidR="00922791">
        <w:t>up</w:t>
      </w:r>
      <w:r w:rsidR="00DF71F9">
        <w:t xml:space="preserve">on any representation, warranty, promise or condition, not specifically and expressly set forth in this </w:t>
      </w:r>
      <w:r w:rsidR="000C670C">
        <w:t>Use and Resale Covenant</w:t>
      </w:r>
      <w:r w:rsidR="00DF71F9">
        <w:t xml:space="preserve">.  All prior discussions and writings have been, and are, merged and integrated into, and are superseded by, this </w:t>
      </w:r>
      <w:r w:rsidR="000C670C">
        <w:t>Use and Resale Covenant</w:t>
      </w:r>
      <w:r w:rsidR="00DF71F9">
        <w:t>.</w:t>
      </w:r>
    </w:p>
    <w:p w14:paraId="2C7835B2" w14:textId="77777777" w:rsidR="00DF71F9" w:rsidRDefault="00DF71F9" w:rsidP="0044503E">
      <w:pPr>
        <w:pStyle w:val="BodyText"/>
        <w:tabs>
          <w:tab w:val="left" w:pos="1440"/>
        </w:tabs>
        <w:spacing w:line="240" w:lineRule="auto"/>
        <w:ind w:firstLine="720"/>
      </w:pPr>
    </w:p>
    <w:p w14:paraId="1AB0BFDD" w14:textId="3D476C88" w:rsidR="00DF71F9" w:rsidRDefault="00A04550" w:rsidP="000E6E08">
      <w:r>
        <w:rPr>
          <w:b/>
        </w:rPr>
        <w:t>7</w:t>
      </w:r>
      <w:r w:rsidR="00DF71F9">
        <w:rPr>
          <w:b/>
        </w:rPr>
        <w:t>.</w:t>
      </w:r>
      <w:r w:rsidR="00AB064D">
        <w:rPr>
          <w:b/>
        </w:rPr>
        <w:t>5</w:t>
      </w:r>
      <w:r w:rsidR="00DF71F9">
        <w:rPr>
          <w:b/>
        </w:rPr>
        <w:tab/>
        <w:t>Severability</w:t>
      </w:r>
      <w:r w:rsidR="00DF71F9">
        <w:rPr>
          <w:b/>
          <w:bCs/>
        </w:rPr>
        <w:t xml:space="preserve">.  </w:t>
      </w:r>
      <w:r w:rsidR="00DF71F9">
        <w:t xml:space="preserve">In the event that any provision of this </w:t>
      </w:r>
      <w:r w:rsidR="000C670C">
        <w:t>Use and Resale Covenant</w:t>
      </w:r>
      <w:r w:rsidR="00DF71F9">
        <w:t xml:space="preserve"> is determined to be illegal or unenforceable, such determination shall not affect the validity or enforceability of the remaining provisions hereof, all of which shall remain in full force and effect.</w:t>
      </w:r>
    </w:p>
    <w:p w14:paraId="09BD3EBB" w14:textId="77777777" w:rsidR="00DF71F9" w:rsidRDefault="00DF71F9" w:rsidP="0044503E">
      <w:pPr>
        <w:ind w:firstLine="720"/>
      </w:pPr>
    </w:p>
    <w:p w14:paraId="2F764661" w14:textId="6F519CEB" w:rsidR="00A865FC" w:rsidRDefault="00A04550" w:rsidP="000E6E08">
      <w:r>
        <w:rPr>
          <w:b/>
        </w:rPr>
        <w:t>7</w:t>
      </w:r>
      <w:r w:rsidR="00DF71F9">
        <w:rPr>
          <w:b/>
        </w:rPr>
        <w:t>.</w:t>
      </w:r>
      <w:r w:rsidR="00AB064D">
        <w:rPr>
          <w:b/>
        </w:rPr>
        <w:t>6</w:t>
      </w:r>
      <w:r w:rsidR="000E6E08">
        <w:rPr>
          <w:b/>
        </w:rPr>
        <w:tab/>
      </w:r>
      <w:r w:rsidR="00DF71F9">
        <w:rPr>
          <w:b/>
        </w:rPr>
        <w:t>Headings</w:t>
      </w:r>
      <w:r w:rsidR="00DF71F9">
        <w:rPr>
          <w:b/>
          <w:bCs/>
        </w:rPr>
        <w:t xml:space="preserve">.  </w:t>
      </w:r>
      <w:r w:rsidR="00DF71F9">
        <w:t xml:space="preserve">The headings within this </w:t>
      </w:r>
      <w:r w:rsidR="000C670C">
        <w:t>Use and Resale Covenant</w:t>
      </w:r>
      <w:r w:rsidR="00DF71F9">
        <w:t xml:space="preserve"> are for the purpose of reference only and shall not limit or otherwise affect any of the terms of this </w:t>
      </w:r>
      <w:r w:rsidR="000C670C">
        <w:t>Use and Resale Covenant</w:t>
      </w:r>
      <w:r w:rsidR="00DF71F9">
        <w:t>.</w:t>
      </w:r>
    </w:p>
    <w:p w14:paraId="6776BAF9" w14:textId="77777777" w:rsidR="00DF71F9" w:rsidRDefault="00DF71F9" w:rsidP="00CE7137">
      <w:pPr>
        <w:ind w:firstLine="720"/>
      </w:pPr>
    </w:p>
    <w:p w14:paraId="50EFC416" w14:textId="358886FC" w:rsidR="00DF71F9" w:rsidRDefault="00A04550" w:rsidP="000E6E08">
      <w:r>
        <w:rPr>
          <w:b/>
          <w:bCs/>
        </w:rPr>
        <w:t>7</w:t>
      </w:r>
      <w:r w:rsidR="00AB064D">
        <w:rPr>
          <w:b/>
          <w:bCs/>
        </w:rPr>
        <w:t>.7</w:t>
      </w:r>
      <w:r w:rsidR="00DF71F9">
        <w:rPr>
          <w:b/>
          <w:bCs/>
        </w:rPr>
        <w:tab/>
        <w:t>Time for Performance.</w:t>
      </w:r>
      <w:r w:rsidR="00DF71F9">
        <w:t xml:space="preserve">  Time is of the essence in the performance of the terms of this </w:t>
      </w:r>
      <w:r w:rsidR="000C670C">
        <w:t>Use and Resale Covenant</w:t>
      </w:r>
      <w:r w:rsidR="00DF71F9">
        <w:t>. All dates for performance or cure shall expire at 5:00 p.m. on the performance or cure date. Any performance date which falls on a Saturday, Sunday</w:t>
      </w:r>
      <w:r w:rsidR="000E6E08">
        <w:t xml:space="preserve">, or a holiday </w:t>
      </w:r>
      <w:r w:rsidR="004A7B49">
        <w:t xml:space="preserve">specified in Code of Civil Procedure </w:t>
      </w:r>
      <w:r w:rsidR="00507B8C">
        <w:t>s</w:t>
      </w:r>
      <w:r w:rsidR="004A7B49">
        <w:t xml:space="preserve">ection 135 </w:t>
      </w:r>
      <w:r w:rsidR="00DF71F9">
        <w:t>is automatically extended to the next day</w:t>
      </w:r>
      <w:r w:rsidR="004A7B49">
        <w:t xml:space="preserve"> that is not a Saturday, Sunday, or holiday</w:t>
      </w:r>
      <w:r w:rsidR="00DF71F9">
        <w:t>.</w:t>
      </w:r>
    </w:p>
    <w:p w14:paraId="194273D6" w14:textId="77777777" w:rsidR="00DF71F9" w:rsidRDefault="00DF71F9" w:rsidP="00CE7137">
      <w:pPr>
        <w:tabs>
          <w:tab w:val="left" w:pos="1620"/>
        </w:tabs>
        <w:ind w:firstLine="720"/>
      </w:pPr>
    </w:p>
    <w:p w14:paraId="2562852D" w14:textId="5CD7B0A2" w:rsidR="00DF71F9" w:rsidRDefault="00A04550" w:rsidP="004A7B49">
      <w:r>
        <w:rPr>
          <w:b/>
          <w:bCs/>
        </w:rPr>
        <w:t>7</w:t>
      </w:r>
      <w:r w:rsidR="00DF71F9">
        <w:rPr>
          <w:b/>
          <w:bCs/>
        </w:rPr>
        <w:t>.</w:t>
      </w:r>
      <w:r w:rsidR="00AB064D">
        <w:rPr>
          <w:b/>
          <w:bCs/>
        </w:rPr>
        <w:t>8</w:t>
      </w:r>
      <w:r w:rsidR="00DF71F9">
        <w:rPr>
          <w:b/>
          <w:bCs/>
        </w:rPr>
        <w:tab/>
        <w:t>Amendments.</w:t>
      </w:r>
      <w:r w:rsidR="00DF71F9">
        <w:t xml:space="preserve">  Any modification or waiver of any provision of this </w:t>
      </w:r>
      <w:r w:rsidR="000C670C">
        <w:t>Use and Resale Covenant</w:t>
      </w:r>
      <w:r w:rsidR="00DF71F9">
        <w:t xml:space="preserve"> or any amendment thereto </w:t>
      </w:r>
      <w:r w:rsidR="00000AE7">
        <w:t>shall</w:t>
      </w:r>
      <w:r w:rsidR="00DF71F9">
        <w:t xml:space="preserve"> be in writing and signed by </w:t>
      </w:r>
      <w:r w:rsidR="00922791">
        <w:t xml:space="preserve">the authorized representatives of both </w:t>
      </w:r>
      <w:r w:rsidR="004A7B49">
        <w:t>the Monitoring Entity</w:t>
      </w:r>
      <w:r w:rsidR="00DF71F9">
        <w:t xml:space="preserve"> and </w:t>
      </w:r>
      <w:r w:rsidR="000F113A">
        <w:t xml:space="preserve">the </w:t>
      </w:r>
      <w:r w:rsidR="006C4834">
        <w:t>City</w:t>
      </w:r>
      <w:r w:rsidR="00DF71F9">
        <w:t>.</w:t>
      </w:r>
    </w:p>
    <w:p w14:paraId="4F9BDE2C" w14:textId="77777777" w:rsidR="00DF71F9" w:rsidRDefault="00DF71F9" w:rsidP="00CE7137">
      <w:pPr>
        <w:tabs>
          <w:tab w:val="left" w:pos="1620"/>
        </w:tabs>
        <w:ind w:left="900" w:firstLine="720"/>
      </w:pPr>
    </w:p>
    <w:p w14:paraId="29A71B1F" w14:textId="408D79E3" w:rsidR="00DF71F9" w:rsidRDefault="00A04550" w:rsidP="004A7B49">
      <w:r>
        <w:rPr>
          <w:b/>
          <w:bCs/>
        </w:rPr>
        <w:t>7</w:t>
      </w:r>
      <w:r w:rsidR="00DF71F9">
        <w:rPr>
          <w:b/>
          <w:bCs/>
        </w:rPr>
        <w:t>.</w:t>
      </w:r>
      <w:r w:rsidR="00AB064D">
        <w:rPr>
          <w:b/>
          <w:bCs/>
        </w:rPr>
        <w:t>9</w:t>
      </w:r>
      <w:r w:rsidR="00DF71F9">
        <w:rPr>
          <w:b/>
          <w:bCs/>
        </w:rPr>
        <w:tab/>
        <w:t xml:space="preserve">Controlling </w:t>
      </w:r>
      <w:r w:rsidR="000C670C">
        <w:rPr>
          <w:b/>
          <w:bCs/>
        </w:rPr>
        <w:t>Use and Resale Covenant</w:t>
      </w:r>
      <w:r w:rsidR="00DF71F9">
        <w:rPr>
          <w:b/>
          <w:bCs/>
        </w:rPr>
        <w:t>.</w:t>
      </w:r>
      <w:r w:rsidR="00DF71F9">
        <w:t xml:space="preserve">  </w:t>
      </w:r>
      <w:r w:rsidR="006C4834">
        <w:t>City</w:t>
      </w:r>
      <w:r w:rsidR="00DF71F9">
        <w:t xml:space="preserve"> covenants that </w:t>
      </w:r>
      <w:r w:rsidR="006C4834">
        <w:t>City</w:t>
      </w:r>
      <w:r w:rsidR="00DF71F9">
        <w:t xml:space="preserve"> has not executed and will not execute any other agreement with provisions contradictory to or in opposition to the provisions of this </w:t>
      </w:r>
      <w:r w:rsidR="000C670C">
        <w:t>Use and Resale Covenant</w:t>
      </w:r>
      <w:r w:rsidR="00DF71F9">
        <w:t xml:space="preserve">. </w:t>
      </w:r>
      <w:r w:rsidR="006C4834">
        <w:t>City</w:t>
      </w:r>
      <w:r w:rsidR="00DF71F9">
        <w:t xml:space="preserve"> understands and agrees that this </w:t>
      </w:r>
      <w:r w:rsidR="000C670C">
        <w:t>Use and Resale Covenant</w:t>
      </w:r>
      <w:r w:rsidR="00DF71F9">
        <w:t xml:space="preserve"> shall control the rights and obligations between </w:t>
      </w:r>
      <w:r w:rsidR="006C4834">
        <w:t>City</w:t>
      </w:r>
      <w:r w:rsidR="00DF71F9">
        <w:t xml:space="preserve"> and</w:t>
      </w:r>
      <w:r w:rsidR="004A7B49">
        <w:t xml:space="preserve"> the Monitoring Entity </w:t>
      </w:r>
      <w:r w:rsidR="002D0DD9">
        <w:t>with respect to the subject matter contained herein.</w:t>
      </w:r>
    </w:p>
    <w:p w14:paraId="0AC845A3" w14:textId="77777777" w:rsidR="00A865FC" w:rsidRDefault="00A865FC" w:rsidP="00CE7137">
      <w:pPr>
        <w:tabs>
          <w:tab w:val="left" w:pos="1620"/>
        </w:tabs>
        <w:ind w:firstLine="720"/>
      </w:pPr>
    </w:p>
    <w:p w14:paraId="40243BBB" w14:textId="74586542" w:rsidR="00A865FC" w:rsidRDefault="00A04550" w:rsidP="004A7B49">
      <w:r>
        <w:rPr>
          <w:b/>
        </w:rPr>
        <w:t>7</w:t>
      </w:r>
      <w:r w:rsidR="00A865FC" w:rsidRPr="00A865FC">
        <w:rPr>
          <w:b/>
        </w:rPr>
        <w:t>.</w:t>
      </w:r>
      <w:r w:rsidR="00AB064D">
        <w:rPr>
          <w:b/>
        </w:rPr>
        <w:t>10</w:t>
      </w:r>
      <w:r w:rsidR="00A865FC" w:rsidRPr="00A865FC">
        <w:rPr>
          <w:b/>
        </w:rPr>
        <w:tab/>
        <w:t>Exhibits.</w:t>
      </w:r>
      <w:r w:rsidR="00A865FC">
        <w:t xml:space="preserve">  The Exhibits and Attachments attached hereto are a material part of this Use and Resale Agreement and are incorporated herein by this reference.</w:t>
      </w:r>
    </w:p>
    <w:p w14:paraId="491453A5" w14:textId="77777777" w:rsidR="00DF71F9" w:rsidRDefault="00DF71F9" w:rsidP="00CE7137">
      <w:pPr>
        <w:ind w:firstLine="720"/>
      </w:pPr>
    </w:p>
    <w:p w14:paraId="2BD9AB32" w14:textId="4FE138B0" w:rsidR="00C21DB1" w:rsidRDefault="00A04550" w:rsidP="004A7B49">
      <w:r>
        <w:rPr>
          <w:b/>
          <w:bCs/>
        </w:rPr>
        <w:t>7</w:t>
      </w:r>
      <w:r w:rsidR="00DF71F9">
        <w:rPr>
          <w:b/>
          <w:bCs/>
        </w:rPr>
        <w:t>.</w:t>
      </w:r>
      <w:r w:rsidR="00004C17">
        <w:rPr>
          <w:b/>
          <w:bCs/>
        </w:rPr>
        <w:t>1</w:t>
      </w:r>
      <w:r w:rsidR="00AB064D">
        <w:rPr>
          <w:b/>
          <w:bCs/>
        </w:rPr>
        <w:t>1</w:t>
      </w:r>
      <w:r w:rsidR="00DF71F9">
        <w:rPr>
          <w:b/>
          <w:bCs/>
        </w:rPr>
        <w:tab/>
        <w:t>Governing Law.</w:t>
      </w:r>
      <w:r w:rsidR="00DF71F9">
        <w:t xml:space="preserve">  This </w:t>
      </w:r>
      <w:r w:rsidR="000C670C">
        <w:t>Use and Resale Covenant</w:t>
      </w:r>
      <w:r w:rsidR="00DF71F9">
        <w:t xml:space="preserve"> shall be governed by, and construed and enforced in accordance with, the laws of the </w:t>
      </w:r>
      <w:r w:rsidR="00B43E71">
        <w:t xml:space="preserve">State </w:t>
      </w:r>
      <w:r w:rsidR="00DF71F9">
        <w:t>of California.</w:t>
      </w:r>
    </w:p>
    <w:p w14:paraId="5889773A" w14:textId="77777777" w:rsidR="00C21DB1" w:rsidRDefault="00C21DB1" w:rsidP="00CE7137">
      <w:pPr>
        <w:tabs>
          <w:tab w:val="left" w:pos="1620"/>
        </w:tabs>
        <w:ind w:firstLine="720"/>
      </w:pPr>
    </w:p>
    <w:p w14:paraId="2CAFD2A6" w14:textId="0EE5D6FC" w:rsidR="00C21DB1" w:rsidRDefault="00A04550" w:rsidP="004A7B49">
      <w:r>
        <w:rPr>
          <w:b/>
        </w:rPr>
        <w:t>7</w:t>
      </w:r>
      <w:r w:rsidR="00C21DB1" w:rsidRPr="001706C4">
        <w:rPr>
          <w:b/>
        </w:rPr>
        <w:t>.</w:t>
      </w:r>
      <w:r w:rsidR="00004C17" w:rsidRPr="001706C4">
        <w:rPr>
          <w:b/>
        </w:rPr>
        <w:t>1</w:t>
      </w:r>
      <w:r w:rsidR="00AB064D">
        <w:rPr>
          <w:b/>
        </w:rPr>
        <w:t>2</w:t>
      </w:r>
      <w:r w:rsidR="00C21DB1" w:rsidRPr="001706C4">
        <w:rPr>
          <w:b/>
        </w:rPr>
        <w:tab/>
        <w:t>Counterparts.</w:t>
      </w:r>
      <w:r w:rsidR="00C21DB1">
        <w:t xml:space="preserve">  This </w:t>
      </w:r>
      <w:r w:rsidR="000C670C">
        <w:t>Use and Resale Covenant</w:t>
      </w:r>
      <w:r w:rsidR="00C21DB1">
        <w:t xml:space="preserve"> may be signed in counterparts, each of which shall constitute an original.</w:t>
      </w:r>
    </w:p>
    <w:p w14:paraId="7030F754" w14:textId="77777777" w:rsidR="00DF71F9" w:rsidRDefault="00DF71F9" w:rsidP="00CE7137">
      <w:pPr>
        <w:ind w:firstLine="720"/>
        <w:rPr>
          <w:b/>
        </w:rPr>
      </w:pPr>
    </w:p>
    <w:p w14:paraId="218D473B" w14:textId="2931F320" w:rsidR="00D04213" w:rsidRDefault="00A04550" w:rsidP="004A7B49">
      <w:r>
        <w:rPr>
          <w:b/>
          <w:bCs/>
        </w:rPr>
        <w:t>7</w:t>
      </w:r>
      <w:r w:rsidR="00DF71F9">
        <w:rPr>
          <w:b/>
          <w:bCs/>
        </w:rPr>
        <w:t>.</w:t>
      </w:r>
      <w:r w:rsidR="00004C17">
        <w:rPr>
          <w:b/>
          <w:bCs/>
        </w:rPr>
        <w:t>1</w:t>
      </w:r>
      <w:r w:rsidR="00AB064D">
        <w:rPr>
          <w:b/>
          <w:bCs/>
        </w:rPr>
        <w:t>3</w:t>
      </w:r>
      <w:r w:rsidR="00DF71F9">
        <w:rPr>
          <w:b/>
          <w:bCs/>
        </w:rPr>
        <w:tab/>
        <w:t>Recordation.</w:t>
      </w:r>
      <w:r w:rsidR="00DF71F9">
        <w:t xml:space="preserve">  </w:t>
      </w:r>
      <w:r w:rsidR="00922791">
        <w:t>Caltrans</w:t>
      </w:r>
      <w:r w:rsidR="00DF71F9">
        <w:t xml:space="preserve"> shall cause this </w:t>
      </w:r>
      <w:r w:rsidR="000C670C">
        <w:t>Use and Resale Covenant</w:t>
      </w:r>
      <w:r w:rsidR="00DF71F9">
        <w:t xml:space="preserve"> to be recorded in the Official Records.</w:t>
      </w:r>
    </w:p>
    <w:p w14:paraId="293F691B" w14:textId="53A2D05D" w:rsidR="002D0DD9" w:rsidRDefault="002D0DD9" w:rsidP="00CE7137">
      <w:pPr>
        <w:ind w:firstLine="720"/>
      </w:pPr>
    </w:p>
    <w:p w14:paraId="282071E7" w14:textId="5AFBA0B9" w:rsidR="002D0DD9" w:rsidRPr="002D0DD9" w:rsidRDefault="00A04550" w:rsidP="004A7B49">
      <w:r>
        <w:rPr>
          <w:b/>
        </w:rPr>
        <w:t>7</w:t>
      </w:r>
      <w:r w:rsidR="002D0DD9">
        <w:rPr>
          <w:b/>
        </w:rPr>
        <w:t>.1</w:t>
      </w:r>
      <w:r w:rsidR="00AB064D">
        <w:rPr>
          <w:b/>
        </w:rPr>
        <w:t>4</w:t>
      </w:r>
      <w:r w:rsidR="002D0DD9">
        <w:rPr>
          <w:b/>
        </w:rPr>
        <w:tab/>
        <w:t xml:space="preserve">Interpretation.  </w:t>
      </w:r>
      <w:r w:rsidR="002D0DD9">
        <w:t xml:space="preserve">Each party hereto acknowledges and agrees that each has had independent counsel review and participate in the negotiation and drafting of this Use and Resale </w:t>
      </w:r>
      <w:r w:rsidR="002D0DD9">
        <w:lastRenderedPageBreak/>
        <w:t xml:space="preserve">Covenant, and each hereby fully waives the application of any law, statute or rule of construction or interpretation, including without limitation Civil Code section 1654, to the effect that any ambiguities are to be construed against the drafting party.  </w:t>
      </w:r>
    </w:p>
    <w:p w14:paraId="04EFB2A1" w14:textId="77777777" w:rsidR="000A167C" w:rsidRDefault="000A167C" w:rsidP="00CE7137">
      <w:pPr>
        <w:ind w:firstLine="720"/>
      </w:pPr>
    </w:p>
    <w:p w14:paraId="43F263B2" w14:textId="3D5D0C68" w:rsidR="00D04213" w:rsidRPr="002E6859" w:rsidRDefault="00A04550" w:rsidP="002E6859">
      <w:pPr>
        <w:rPr>
          <w:b/>
        </w:rPr>
      </w:pPr>
      <w:r>
        <w:rPr>
          <w:b/>
        </w:rPr>
        <w:t>7</w:t>
      </w:r>
      <w:r w:rsidR="006D65DE">
        <w:rPr>
          <w:b/>
        </w:rPr>
        <w:t>.1</w:t>
      </w:r>
      <w:r w:rsidR="00AB064D">
        <w:rPr>
          <w:b/>
        </w:rPr>
        <w:t>5</w:t>
      </w:r>
      <w:r w:rsidR="000A167C">
        <w:rPr>
          <w:b/>
        </w:rPr>
        <w:t xml:space="preserve">  </w:t>
      </w:r>
      <w:r w:rsidR="000447DD">
        <w:rPr>
          <w:b/>
        </w:rPr>
        <w:t xml:space="preserve"> </w:t>
      </w:r>
      <w:r w:rsidR="000A167C">
        <w:rPr>
          <w:b/>
        </w:rPr>
        <w:t xml:space="preserve">Assignment by Caltrans to </w:t>
      </w:r>
      <w:r w:rsidR="00845E40">
        <w:rPr>
          <w:b/>
        </w:rPr>
        <w:t>the Monitoring Entity</w:t>
      </w:r>
      <w:r w:rsidR="000A167C">
        <w:rPr>
          <w:b/>
        </w:rPr>
        <w:t xml:space="preserve">.  </w:t>
      </w:r>
      <w:r w:rsidR="000A167C">
        <w:t xml:space="preserve">Upon this Use and Resale Covenant being recorded in the Official Records, Caltrans assigns all the rights, duties, and benefits granted to it by this Use and Resale Covenant to </w:t>
      </w:r>
      <w:r w:rsidR="004A7B49">
        <w:t>the Monitoring Entity</w:t>
      </w:r>
      <w:r w:rsidR="000A167C">
        <w:t>, and</w:t>
      </w:r>
      <w:r w:rsidR="004A7B49">
        <w:t xml:space="preserve"> the Monitoring Entity</w:t>
      </w:r>
      <w:r w:rsidR="000A167C">
        <w:t xml:space="preserve"> accepts such assignment.  </w:t>
      </w:r>
    </w:p>
    <w:p w14:paraId="44E78585" w14:textId="1B7EF30C" w:rsidR="003A7724" w:rsidRDefault="003A7724">
      <w:r>
        <w:br w:type="page"/>
      </w:r>
    </w:p>
    <w:p w14:paraId="00FA21B4" w14:textId="4515C1E1" w:rsidR="00DF71F9" w:rsidRDefault="00DF71F9" w:rsidP="00CE7137">
      <w:pPr>
        <w:ind w:firstLine="720"/>
      </w:pPr>
      <w:r w:rsidRPr="001706C4">
        <w:rPr>
          <w:b/>
        </w:rPr>
        <w:lastRenderedPageBreak/>
        <w:t>IN WITNESS WHEREOF</w:t>
      </w:r>
      <w:r>
        <w:t xml:space="preserve">, </w:t>
      </w:r>
      <w:r w:rsidR="006C4834">
        <w:t>City</w:t>
      </w:r>
      <w:r w:rsidR="001411CF">
        <w:t>,</w:t>
      </w:r>
      <w:r w:rsidR="003C482D">
        <w:t xml:space="preserve"> </w:t>
      </w:r>
      <w:r w:rsidR="00922791">
        <w:t>Monitoring Entity</w:t>
      </w:r>
      <w:r w:rsidR="003E3071">
        <w:t>,</w:t>
      </w:r>
      <w:r>
        <w:t xml:space="preserve"> </w:t>
      </w:r>
      <w:r w:rsidR="001411CF">
        <w:t xml:space="preserve">and Caltrans </w:t>
      </w:r>
      <w:r>
        <w:t xml:space="preserve">have executed this </w:t>
      </w:r>
      <w:r w:rsidR="000C670C">
        <w:t>Use and Resale Covenant</w:t>
      </w:r>
      <w:r>
        <w:t xml:space="preserve"> as of the date written above.</w:t>
      </w:r>
    </w:p>
    <w:p w14:paraId="16EB9676" w14:textId="77777777" w:rsidR="00DF71F9" w:rsidRDefault="00DF71F9" w:rsidP="00CE7137"/>
    <w:tbl>
      <w:tblPr>
        <w:tblW w:w="0" w:type="auto"/>
        <w:tblLook w:val="0000" w:firstRow="0" w:lastRow="0" w:firstColumn="0" w:lastColumn="0" w:noHBand="0" w:noVBand="0"/>
      </w:tblPr>
      <w:tblGrid>
        <w:gridCol w:w="4577"/>
        <w:gridCol w:w="4783"/>
      </w:tblGrid>
      <w:tr w:rsidR="00DF71F9" w14:paraId="08A47C9D" w14:textId="77777777" w:rsidTr="005464F3">
        <w:tc>
          <w:tcPr>
            <w:tcW w:w="4577" w:type="dxa"/>
          </w:tcPr>
          <w:p w14:paraId="62B93AED" w14:textId="620BFDCD" w:rsidR="005464F3" w:rsidRDefault="005464F3" w:rsidP="00CE7137">
            <w:pPr>
              <w:rPr>
                <w:b/>
              </w:rPr>
            </w:pPr>
          </w:p>
          <w:p w14:paraId="61EF2D66" w14:textId="77777777" w:rsidR="005464F3" w:rsidRDefault="005464F3" w:rsidP="00CE7137">
            <w:pPr>
              <w:rPr>
                <w:b/>
              </w:rPr>
            </w:pPr>
          </w:p>
          <w:p w14:paraId="4FC89156" w14:textId="77777777" w:rsidR="00ED1E24" w:rsidRDefault="00ED1E24" w:rsidP="00CE7137">
            <w:pPr>
              <w:rPr>
                <w:b/>
              </w:rPr>
            </w:pPr>
          </w:p>
          <w:p w14:paraId="5C7C7CAA" w14:textId="77777777" w:rsidR="00ED1E24" w:rsidRDefault="00ED1E24" w:rsidP="00CE7137">
            <w:pPr>
              <w:rPr>
                <w:b/>
              </w:rPr>
            </w:pPr>
          </w:p>
          <w:p w14:paraId="2EC7703B" w14:textId="77777777" w:rsidR="00ED1E24" w:rsidRDefault="00ED1E24" w:rsidP="00CE7137">
            <w:pPr>
              <w:rPr>
                <w:b/>
              </w:rPr>
            </w:pPr>
          </w:p>
          <w:p w14:paraId="3429658B" w14:textId="77777777" w:rsidR="00ED1E24" w:rsidRDefault="00ED1E24" w:rsidP="00CE7137">
            <w:pPr>
              <w:rPr>
                <w:b/>
              </w:rPr>
            </w:pPr>
          </w:p>
          <w:p w14:paraId="66F7FCD1" w14:textId="758C581C" w:rsidR="00DF71F9" w:rsidRDefault="00922791" w:rsidP="00CE7137">
            <w:pPr>
              <w:rPr>
                <w:b/>
              </w:rPr>
            </w:pPr>
            <w:r>
              <w:rPr>
                <w:b/>
              </w:rPr>
              <w:t>MONITORING ENTITY</w:t>
            </w:r>
            <w:r w:rsidR="00DF71F9">
              <w:rPr>
                <w:b/>
              </w:rPr>
              <w:t>:</w:t>
            </w:r>
          </w:p>
          <w:p w14:paraId="52AABBFF" w14:textId="13C8BFA9" w:rsidR="00DF71F9" w:rsidRDefault="0012023D" w:rsidP="00CE7137">
            <w:r>
              <w:t xml:space="preserve">California Department of </w:t>
            </w:r>
            <w:r w:rsidR="00CE7137">
              <w:t>Housing and Community Development</w:t>
            </w:r>
            <w:r w:rsidR="00570D74">
              <w:t>, a</w:t>
            </w:r>
            <w:r w:rsidR="005464F3">
              <w:t>n</w:t>
            </w:r>
            <w:r w:rsidR="00570D74">
              <w:t xml:space="preserve"> </w:t>
            </w:r>
            <w:r w:rsidR="002455C8">
              <w:t>agency</w:t>
            </w:r>
            <w:r w:rsidR="00570D74">
              <w:t xml:space="preserve"> of the State of California</w:t>
            </w:r>
          </w:p>
          <w:p w14:paraId="7AFB1487" w14:textId="77777777" w:rsidR="00DF71F9" w:rsidRDefault="00DF71F9" w:rsidP="00CE7137"/>
          <w:p w14:paraId="0D4F78A8" w14:textId="77777777" w:rsidR="0012023D" w:rsidRDefault="00DF71F9" w:rsidP="00CE7137">
            <w:r>
              <w:t>By:</w:t>
            </w:r>
            <w:r>
              <w:rPr>
                <w:u w:val="single"/>
              </w:rPr>
              <w:tab/>
            </w:r>
            <w:r>
              <w:rPr>
                <w:u w:val="single"/>
              </w:rPr>
              <w:tab/>
            </w:r>
            <w:r>
              <w:rPr>
                <w:u w:val="single"/>
              </w:rPr>
              <w:tab/>
            </w:r>
            <w:r>
              <w:rPr>
                <w:u w:val="single"/>
              </w:rPr>
              <w:tab/>
            </w:r>
            <w:r>
              <w:rPr>
                <w:u w:val="single"/>
              </w:rPr>
              <w:tab/>
            </w:r>
            <w:r>
              <w:rPr>
                <w:u w:val="single"/>
              </w:rPr>
              <w:tab/>
            </w:r>
            <w:r>
              <w:rPr>
                <w:u w:val="single"/>
              </w:rPr>
              <w:br/>
            </w:r>
            <w:r>
              <w:tab/>
            </w:r>
          </w:p>
          <w:p w14:paraId="3CD47104" w14:textId="77777777" w:rsidR="0012023D" w:rsidRPr="00F4315D" w:rsidRDefault="000F113A" w:rsidP="00CE7137">
            <w:pPr>
              <w:rPr>
                <w:u w:val="single"/>
              </w:rPr>
            </w:pPr>
            <w:r>
              <w:t>Its:</w:t>
            </w:r>
            <w:r>
              <w:rPr>
                <w:u w:val="single"/>
              </w:rPr>
              <w:tab/>
            </w:r>
            <w:r>
              <w:rPr>
                <w:u w:val="single"/>
              </w:rPr>
              <w:tab/>
            </w:r>
            <w:r>
              <w:rPr>
                <w:u w:val="single"/>
              </w:rPr>
              <w:tab/>
            </w:r>
            <w:r>
              <w:rPr>
                <w:u w:val="single"/>
              </w:rPr>
              <w:tab/>
            </w:r>
            <w:r>
              <w:rPr>
                <w:u w:val="single"/>
              </w:rPr>
              <w:tab/>
            </w:r>
            <w:r>
              <w:rPr>
                <w:u w:val="single"/>
              </w:rPr>
              <w:tab/>
            </w:r>
          </w:p>
        </w:tc>
        <w:tc>
          <w:tcPr>
            <w:tcW w:w="4783" w:type="dxa"/>
          </w:tcPr>
          <w:p w14:paraId="3D0071D5" w14:textId="45E22C7D" w:rsidR="00DF71F9" w:rsidRDefault="006C4834" w:rsidP="00CE7137">
            <w:r>
              <w:rPr>
                <w:b/>
              </w:rPr>
              <w:t>CITY</w:t>
            </w:r>
            <w:r w:rsidR="00DF71F9">
              <w:t>:</w:t>
            </w:r>
          </w:p>
          <w:p w14:paraId="551BC7E0" w14:textId="77777777" w:rsidR="00DF71F9" w:rsidRDefault="00DF71F9" w:rsidP="00CE7137">
            <w:pPr>
              <w:rPr>
                <w:u w:val="single"/>
              </w:rPr>
            </w:pPr>
          </w:p>
          <w:p w14:paraId="25CFD1DD" w14:textId="77777777" w:rsidR="00DF71F9" w:rsidRDefault="00DF71F9" w:rsidP="00CE7137">
            <w:pPr>
              <w:rPr>
                <w:u w:val="single"/>
              </w:rPr>
            </w:pPr>
            <w:r>
              <w:rPr>
                <w:u w:val="single"/>
              </w:rPr>
              <w:tab/>
            </w:r>
            <w:r>
              <w:rPr>
                <w:u w:val="single"/>
              </w:rPr>
              <w:tab/>
            </w:r>
            <w:r>
              <w:rPr>
                <w:u w:val="single"/>
              </w:rPr>
              <w:tab/>
            </w:r>
            <w:r>
              <w:rPr>
                <w:u w:val="single"/>
              </w:rPr>
              <w:tab/>
            </w:r>
            <w:r>
              <w:rPr>
                <w:u w:val="single"/>
              </w:rPr>
              <w:tab/>
            </w:r>
            <w:r>
              <w:rPr>
                <w:u w:val="single"/>
              </w:rPr>
              <w:tab/>
            </w:r>
            <w:r>
              <w:rPr>
                <w:u w:val="single"/>
              </w:rPr>
              <w:br/>
            </w:r>
          </w:p>
          <w:p w14:paraId="30B2DDEF" w14:textId="77777777" w:rsidR="00DF71F9" w:rsidRDefault="00DF71F9" w:rsidP="00CE7137">
            <w:pPr>
              <w:rPr>
                <w:u w:val="single"/>
              </w:rPr>
            </w:pPr>
          </w:p>
          <w:p w14:paraId="58F8DAB6" w14:textId="77777777" w:rsidR="00DF71F9" w:rsidRDefault="00DF71F9" w:rsidP="00CE7137">
            <w:pPr>
              <w:rPr>
                <w:u w:val="single"/>
              </w:rPr>
            </w:pPr>
            <w:r>
              <w:rPr>
                <w:u w:val="single"/>
              </w:rPr>
              <w:tab/>
            </w:r>
            <w:r>
              <w:rPr>
                <w:u w:val="single"/>
              </w:rPr>
              <w:tab/>
            </w:r>
            <w:r>
              <w:rPr>
                <w:u w:val="single"/>
              </w:rPr>
              <w:tab/>
            </w:r>
            <w:r>
              <w:rPr>
                <w:u w:val="single"/>
              </w:rPr>
              <w:tab/>
            </w:r>
            <w:r>
              <w:rPr>
                <w:u w:val="single"/>
              </w:rPr>
              <w:tab/>
            </w:r>
            <w:r>
              <w:rPr>
                <w:u w:val="single"/>
              </w:rPr>
              <w:tab/>
            </w:r>
          </w:p>
          <w:p w14:paraId="5DEB5D7E" w14:textId="77777777" w:rsidR="002A2D9B" w:rsidRDefault="002A2D9B" w:rsidP="00CE7137">
            <w:pPr>
              <w:rPr>
                <w:u w:val="single"/>
              </w:rPr>
            </w:pPr>
          </w:p>
          <w:p w14:paraId="296EA1C3" w14:textId="77777777" w:rsidR="002A2D9B" w:rsidRDefault="002A2D9B" w:rsidP="00CE7137">
            <w:pPr>
              <w:rPr>
                <w:u w:val="single"/>
              </w:rPr>
            </w:pPr>
          </w:p>
          <w:p w14:paraId="74FB4F1A" w14:textId="77777777" w:rsidR="002A2D9B" w:rsidRDefault="002A2D9B" w:rsidP="00CE7137">
            <w:pPr>
              <w:rPr>
                <w:u w:val="single"/>
              </w:rPr>
            </w:pPr>
          </w:p>
          <w:p w14:paraId="56D90F45" w14:textId="77777777" w:rsidR="00A46B0F" w:rsidRDefault="00A46B0F" w:rsidP="00CE7137">
            <w:pPr>
              <w:rPr>
                <w:u w:val="single"/>
              </w:rPr>
            </w:pPr>
          </w:p>
          <w:p w14:paraId="14407A67" w14:textId="0E23EBB0" w:rsidR="00A46B0F" w:rsidRDefault="00A46B0F" w:rsidP="00F766D3">
            <w:pPr>
              <w:rPr>
                <w:u w:val="single"/>
              </w:rPr>
            </w:pPr>
          </w:p>
        </w:tc>
      </w:tr>
      <w:tr w:rsidR="00ED1E24" w14:paraId="0D73507B" w14:textId="77777777" w:rsidTr="005464F3">
        <w:tc>
          <w:tcPr>
            <w:tcW w:w="4577" w:type="dxa"/>
          </w:tcPr>
          <w:p w14:paraId="5FAAAD86" w14:textId="77777777" w:rsidR="00ED1E24" w:rsidRDefault="00ED1E24" w:rsidP="00CE7137">
            <w:pPr>
              <w:rPr>
                <w:b/>
              </w:rPr>
            </w:pPr>
          </w:p>
        </w:tc>
        <w:tc>
          <w:tcPr>
            <w:tcW w:w="4783" w:type="dxa"/>
          </w:tcPr>
          <w:p w14:paraId="31CFD6E1" w14:textId="77777777" w:rsidR="00ED1E24" w:rsidRPr="00ED1E24" w:rsidRDefault="00ED1E24" w:rsidP="00CE7137">
            <w:pPr>
              <w:rPr>
                <w:b/>
              </w:rPr>
            </w:pPr>
          </w:p>
        </w:tc>
      </w:tr>
    </w:tbl>
    <w:p w14:paraId="54B384F4" w14:textId="44758EA3" w:rsidR="005464F3" w:rsidRDefault="005464F3" w:rsidP="005464F3">
      <w:pPr>
        <w:rPr>
          <w:b/>
        </w:rPr>
      </w:pPr>
      <w:r>
        <w:rPr>
          <w:b/>
        </w:rPr>
        <w:t>CALTRANS:</w:t>
      </w:r>
    </w:p>
    <w:p w14:paraId="385307F2" w14:textId="77777777" w:rsidR="005464F3" w:rsidRDefault="005464F3" w:rsidP="005464F3">
      <w:r>
        <w:t xml:space="preserve">California Department of Transportation, </w:t>
      </w:r>
    </w:p>
    <w:p w14:paraId="06006274" w14:textId="3644442E" w:rsidR="005464F3" w:rsidRDefault="005464F3" w:rsidP="005464F3">
      <w:r>
        <w:t>an</w:t>
      </w:r>
      <w:r w:rsidR="0061513A">
        <w:t xml:space="preserve"> </w:t>
      </w:r>
      <w:r>
        <w:t>agency of the State of California</w:t>
      </w:r>
    </w:p>
    <w:p w14:paraId="57CDBF80" w14:textId="77777777" w:rsidR="005464F3" w:rsidRDefault="005464F3" w:rsidP="005464F3"/>
    <w:p w14:paraId="0B3876A8" w14:textId="77777777" w:rsidR="005464F3" w:rsidRDefault="005464F3" w:rsidP="005464F3">
      <w:r>
        <w:t>By:</w:t>
      </w:r>
      <w:r>
        <w:rPr>
          <w:u w:val="single"/>
        </w:rPr>
        <w:tab/>
      </w:r>
      <w:r>
        <w:rPr>
          <w:u w:val="single"/>
        </w:rPr>
        <w:tab/>
      </w:r>
      <w:r>
        <w:rPr>
          <w:u w:val="single"/>
        </w:rPr>
        <w:tab/>
      </w:r>
      <w:r>
        <w:rPr>
          <w:u w:val="single"/>
        </w:rPr>
        <w:tab/>
      </w:r>
      <w:r>
        <w:rPr>
          <w:u w:val="single"/>
        </w:rPr>
        <w:tab/>
      </w:r>
      <w:r>
        <w:rPr>
          <w:u w:val="single"/>
        </w:rPr>
        <w:tab/>
      </w:r>
      <w:r>
        <w:rPr>
          <w:u w:val="single"/>
        </w:rPr>
        <w:br/>
      </w:r>
      <w:r>
        <w:tab/>
      </w:r>
    </w:p>
    <w:p w14:paraId="294D598B" w14:textId="102CC6C1" w:rsidR="0012023D" w:rsidRDefault="005464F3" w:rsidP="005464F3">
      <w:r>
        <w:t>Its:</w:t>
      </w:r>
      <w:r>
        <w:rPr>
          <w:u w:val="single"/>
        </w:rPr>
        <w:tab/>
      </w:r>
      <w:r>
        <w:rPr>
          <w:u w:val="single"/>
        </w:rPr>
        <w:tab/>
      </w:r>
      <w:r>
        <w:rPr>
          <w:u w:val="single"/>
        </w:rPr>
        <w:tab/>
      </w:r>
      <w:r>
        <w:rPr>
          <w:u w:val="single"/>
        </w:rPr>
        <w:tab/>
      </w:r>
      <w:r>
        <w:rPr>
          <w:u w:val="single"/>
        </w:rPr>
        <w:tab/>
      </w:r>
      <w:r>
        <w:rPr>
          <w:u w:val="single"/>
        </w:rPr>
        <w:tab/>
      </w:r>
    </w:p>
    <w:p w14:paraId="1771006A" w14:textId="77777777" w:rsidR="0012023D" w:rsidRDefault="0012023D" w:rsidP="00657B67"/>
    <w:p w14:paraId="6529B0F5" w14:textId="77777777" w:rsidR="00DF71F9" w:rsidRDefault="00DF71F9" w:rsidP="000E515A">
      <w:r>
        <w:t>ALL SIGNATURES MUST BE NOTARIZED.</w:t>
      </w:r>
    </w:p>
    <w:p w14:paraId="4B6A4685" w14:textId="77777777" w:rsidR="00C12DA8" w:rsidRDefault="00C12DA8" w:rsidP="000E515A"/>
    <w:p w14:paraId="0B7687AA" w14:textId="77777777" w:rsidR="00DF71F9" w:rsidRDefault="00DF71F9" w:rsidP="0037589A">
      <w:r>
        <w:t>------------------ Attach All Purpose California Notary Acknowledgment ------------------</w:t>
      </w:r>
    </w:p>
    <w:p w14:paraId="67877782" w14:textId="77777777" w:rsidR="00C12DA8" w:rsidRDefault="00C12DA8" w:rsidP="0037589A">
      <w:pPr>
        <w:pStyle w:val="BodyText"/>
        <w:rPr>
          <w:b/>
          <w:bCs/>
        </w:rPr>
      </w:pPr>
    </w:p>
    <w:p w14:paraId="224F0246" w14:textId="0D326E8B" w:rsidR="00570D74" w:rsidRDefault="00570D74" w:rsidP="00BB23E3">
      <w:pPr>
        <w:pStyle w:val="BodyText"/>
        <w:rPr>
          <w:b/>
          <w:bCs/>
        </w:rPr>
      </w:pPr>
      <w:r>
        <w:rPr>
          <w:b/>
          <w:bCs/>
        </w:rPr>
        <w:t>EXHIBIT A</w:t>
      </w:r>
      <w:r w:rsidR="00C12DA8">
        <w:rPr>
          <w:b/>
          <w:bCs/>
        </w:rPr>
        <w:t xml:space="preserve"> – </w:t>
      </w:r>
      <w:r>
        <w:rPr>
          <w:b/>
          <w:bCs/>
        </w:rPr>
        <w:t xml:space="preserve">LEGAL </w:t>
      </w:r>
      <w:r w:rsidR="00A96C75">
        <w:rPr>
          <w:b/>
          <w:bCs/>
        </w:rPr>
        <w:t>DESCRIPTION</w:t>
      </w:r>
    </w:p>
    <w:p w14:paraId="27D9A576" w14:textId="298E1938" w:rsidR="0092288A" w:rsidRDefault="0092288A" w:rsidP="00A14517">
      <w:pPr>
        <w:pStyle w:val="BodyText"/>
        <w:rPr>
          <w:b/>
          <w:bCs/>
        </w:rPr>
      </w:pPr>
    </w:p>
    <w:sectPr w:rsidR="0092288A" w:rsidSect="002813C4">
      <w:headerReference w:type="default" r:id="rId8"/>
      <w:footerReference w:type="default" r:id="rId9"/>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B429A" w14:textId="77777777" w:rsidR="005A1E1D" w:rsidRDefault="005A1E1D">
      <w:r>
        <w:separator/>
      </w:r>
    </w:p>
  </w:endnote>
  <w:endnote w:type="continuationSeparator" w:id="0">
    <w:p w14:paraId="00A6A5C8" w14:textId="77777777" w:rsidR="005A1E1D" w:rsidRDefault="005A1E1D">
      <w:r>
        <w:continuationSeparator/>
      </w:r>
    </w:p>
  </w:endnote>
  <w:endnote w:type="continuationNotice" w:id="1">
    <w:p w14:paraId="76DF5AB5" w14:textId="77777777" w:rsidR="005A1E1D" w:rsidRDefault="005A1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2D69" w14:textId="02965E6D" w:rsidR="00257184" w:rsidRDefault="00257184" w:rsidP="0028715D">
    <w:pPr>
      <w:pStyle w:val="Footer"/>
      <w:tabs>
        <w:tab w:val="clear" w:pos="4320"/>
        <w:tab w:val="clear" w:pos="8640"/>
      </w:tabs>
      <w:rPr>
        <w:rStyle w:val="PageNumber"/>
        <w:szCs w:val="24"/>
      </w:rPr>
    </w:pPr>
    <w:r>
      <w:rPr>
        <w:rStyle w:val="PageNumber"/>
        <w:szCs w:val="24"/>
      </w:rPr>
      <w:t>Form 1477.</w:t>
    </w:r>
    <w:r w:rsidR="005A4FF9">
      <w:rPr>
        <w:rStyle w:val="PageNumber"/>
        <w:szCs w:val="24"/>
      </w:rPr>
      <w:t>2</w:t>
    </w:r>
    <w:r>
      <w:rPr>
        <w:rStyle w:val="PageNumber"/>
        <w:szCs w:val="24"/>
      </w:rPr>
      <w:t xml:space="preserve">(a)(5) – </w:t>
    </w:r>
    <w:r w:rsidR="00925653">
      <w:rPr>
        <w:rStyle w:val="PageNumber"/>
        <w:szCs w:val="24"/>
      </w:rPr>
      <w:t>City of</w:t>
    </w:r>
    <w:r>
      <w:rPr>
        <w:rStyle w:val="PageNumber"/>
        <w:szCs w:val="24"/>
      </w:rPr>
      <w:t xml:space="preserve"> Pasadena, Priority </w:t>
    </w:r>
    <w:r w:rsidR="00925653">
      <w:rPr>
        <w:rStyle w:val="PageNumber"/>
        <w:szCs w:val="24"/>
      </w:rPr>
      <w:t>3</w:t>
    </w:r>
    <w:r w:rsidR="000A5A58">
      <w:rPr>
        <w:rStyle w:val="PageNumber"/>
        <w:szCs w:val="24"/>
      </w:rPr>
      <w:t>, Unoccupied Surplus Residential Properties</w:t>
    </w:r>
    <w:r w:rsidR="0077203C">
      <w:rPr>
        <w:rStyle w:val="PageNumber"/>
        <w:szCs w:val="24"/>
      </w:rPr>
      <w:t xml:space="preserve"> (</w:t>
    </w:r>
    <w:r w:rsidR="000A5E0F" w:rsidRPr="005763CA">
      <w:rPr>
        <w:rStyle w:val="PageNumber"/>
        <w:strike/>
        <w:szCs w:val="24"/>
      </w:rPr>
      <w:t>03/23</w:t>
    </w:r>
    <w:r w:rsidR="005763CA" w:rsidRPr="005763CA">
      <w:rPr>
        <w:rStyle w:val="PageNumber"/>
        <w:szCs w:val="24"/>
        <w:u w:val="single"/>
      </w:rPr>
      <w:t>02/24</w:t>
    </w:r>
    <w:r w:rsidR="0077203C">
      <w:rPr>
        <w:rStyle w:val="PageNumber"/>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F5FE1" w14:textId="77777777" w:rsidR="005A1E1D" w:rsidRDefault="005A1E1D">
      <w:r>
        <w:separator/>
      </w:r>
    </w:p>
  </w:footnote>
  <w:footnote w:type="continuationSeparator" w:id="0">
    <w:p w14:paraId="0C3D5524" w14:textId="77777777" w:rsidR="005A1E1D" w:rsidRDefault="005A1E1D">
      <w:r>
        <w:continuationSeparator/>
      </w:r>
    </w:p>
  </w:footnote>
  <w:footnote w:type="continuationNotice" w:id="1">
    <w:p w14:paraId="723B6B14" w14:textId="77777777" w:rsidR="005A1E1D" w:rsidRDefault="005A1E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A724" w14:textId="73E96EF2" w:rsidR="00257184" w:rsidRPr="005E10A9" w:rsidRDefault="00257184" w:rsidP="005E10A9">
    <w:pPr>
      <w:jc w:val="right"/>
      <w:rPr>
        <w:sz w:val="20"/>
        <w:szCs w:val="20"/>
      </w:rPr>
    </w:pPr>
  </w:p>
  <w:p w14:paraId="63AD6B65" w14:textId="352D9701" w:rsidR="00257184" w:rsidRDefault="00257184" w:rsidP="003E3071">
    <w:pPr>
      <w:pStyle w:val="Header"/>
      <w:jc w:val="right"/>
      <w:rPr>
        <w:snapToGrid w:val="0"/>
        <w:sz w:val="20"/>
        <w:szCs w:val="20"/>
      </w:rPr>
    </w:pPr>
    <w:r w:rsidRPr="005E10A9">
      <w:rPr>
        <w:snapToGrid w:val="0"/>
        <w:sz w:val="20"/>
        <w:szCs w:val="20"/>
      </w:rPr>
      <w:t xml:space="preserve">Page </w:t>
    </w:r>
    <w:r w:rsidRPr="003A7724">
      <w:rPr>
        <w:snapToGrid w:val="0"/>
        <w:sz w:val="20"/>
        <w:szCs w:val="20"/>
      </w:rPr>
      <w:fldChar w:fldCharType="begin"/>
    </w:r>
    <w:r w:rsidRPr="003A7724">
      <w:rPr>
        <w:snapToGrid w:val="0"/>
        <w:sz w:val="20"/>
        <w:szCs w:val="20"/>
      </w:rPr>
      <w:instrText xml:space="preserve"> PAGE </w:instrText>
    </w:r>
    <w:r w:rsidRPr="003A7724">
      <w:rPr>
        <w:snapToGrid w:val="0"/>
        <w:sz w:val="20"/>
        <w:szCs w:val="20"/>
      </w:rPr>
      <w:fldChar w:fldCharType="separate"/>
    </w:r>
    <w:r>
      <w:rPr>
        <w:noProof/>
        <w:snapToGrid w:val="0"/>
        <w:sz w:val="20"/>
        <w:szCs w:val="20"/>
      </w:rPr>
      <w:t>2</w:t>
    </w:r>
    <w:r w:rsidRPr="003A7724">
      <w:rPr>
        <w:snapToGrid w:val="0"/>
        <w:sz w:val="20"/>
        <w:szCs w:val="20"/>
      </w:rPr>
      <w:fldChar w:fldCharType="end"/>
    </w:r>
    <w:r w:rsidRPr="003A7724">
      <w:rPr>
        <w:snapToGrid w:val="0"/>
        <w:sz w:val="20"/>
        <w:szCs w:val="20"/>
      </w:rPr>
      <w:t xml:space="preserve"> of </w:t>
    </w:r>
    <w:r w:rsidRPr="003A7724">
      <w:rPr>
        <w:snapToGrid w:val="0"/>
        <w:sz w:val="20"/>
        <w:szCs w:val="20"/>
      </w:rPr>
      <w:fldChar w:fldCharType="begin"/>
    </w:r>
    <w:r w:rsidRPr="003A7724">
      <w:rPr>
        <w:snapToGrid w:val="0"/>
        <w:sz w:val="20"/>
        <w:szCs w:val="20"/>
      </w:rPr>
      <w:instrText xml:space="preserve"> sectionPAGES </w:instrText>
    </w:r>
    <w:r w:rsidRPr="003A7724">
      <w:rPr>
        <w:snapToGrid w:val="0"/>
        <w:sz w:val="20"/>
        <w:szCs w:val="20"/>
      </w:rPr>
      <w:fldChar w:fldCharType="separate"/>
    </w:r>
    <w:r w:rsidR="00BC2890">
      <w:rPr>
        <w:noProof/>
        <w:snapToGrid w:val="0"/>
        <w:sz w:val="20"/>
        <w:szCs w:val="20"/>
      </w:rPr>
      <w:t>9</w:t>
    </w:r>
    <w:r w:rsidRPr="003A7724">
      <w:rPr>
        <w:snapToGrid w:val="0"/>
        <w:sz w:val="20"/>
        <w:szCs w:val="20"/>
      </w:rPr>
      <w:fldChar w:fldCharType="end"/>
    </w:r>
  </w:p>
  <w:p w14:paraId="1E21F564" w14:textId="77777777" w:rsidR="00257184" w:rsidRPr="003A7724" w:rsidRDefault="00257184" w:rsidP="003E30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4CCB"/>
    <w:multiLevelType w:val="hybridMultilevel"/>
    <w:tmpl w:val="7ADA8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4E16C3"/>
    <w:multiLevelType w:val="multilevel"/>
    <w:tmpl w:val="F882182A"/>
    <w:lvl w:ilvl="0">
      <w:start w:val="9"/>
      <w:numFmt w:val="decimal"/>
      <w:lvlText w:val="%1"/>
      <w:lvlJc w:val="left"/>
      <w:pPr>
        <w:tabs>
          <w:tab w:val="num" w:pos="1440"/>
        </w:tabs>
        <w:ind w:left="1440" w:hanging="1440"/>
      </w:pPr>
      <w:rPr>
        <w:rFonts w:hint="default"/>
        <w:b/>
      </w:rPr>
    </w:lvl>
    <w:lvl w:ilvl="1">
      <w:start w:val="1"/>
      <w:numFmt w:val="decimal"/>
      <w:lvlText w:val="%1.%2"/>
      <w:lvlJc w:val="left"/>
      <w:pPr>
        <w:tabs>
          <w:tab w:val="num" w:pos="2340"/>
        </w:tabs>
        <w:ind w:left="2340" w:hanging="1440"/>
      </w:pPr>
      <w:rPr>
        <w:rFonts w:hint="default"/>
        <w:b/>
      </w:rPr>
    </w:lvl>
    <w:lvl w:ilvl="2">
      <w:start w:val="1"/>
      <w:numFmt w:val="decimal"/>
      <w:lvlText w:val="%1.%2.%3"/>
      <w:lvlJc w:val="left"/>
      <w:pPr>
        <w:tabs>
          <w:tab w:val="num" w:pos="3240"/>
        </w:tabs>
        <w:ind w:left="3240" w:hanging="1440"/>
      </w:pPr>
      <w:rPr>
        <w:rFonts w:hint="default"/>
        <w:b/>
      </w:rPr>
    </w:lvl>
    <w:lvl w:ilvl="3">
      <w:start w:val="1"/>
      <w:numFmt w:val="decimal"/>
      <w:lvlText w:val="%1.%2.%3.%4"/>
      <w:lvlJc w:val="left"/>
      <w:pPr>
        <w:tabs>
          <w:tab w:val="num" w:pos="4140"/>
        </w:tabs>
        <w:ind w:left="4140" w:hanging="1440"/>
      </w:pPr>
      <w:rPr>
        <w:rFonts w:hint="default"/>
        <w:b/>
      </w:rPr>
    </w:lvl>
    <w:lvl w:ilvl="4">
      <w:start w:val="1"/>
      <w:numFmt w:val="decimal"/>
      <w:lvlText w:val="%1.%2.%3.%4.%5"/>
      <w:lvlJc w:val="left"/>
      <w:pPr>
        <w:tabs>
          <w:tab w:val="num" w:pos="5040"/>
        </w:tabs>
        <w:ind w:left="5040" w:hanging="1440"/>
      </w:pPr>
      <w:rPr>
        <w:rFonts w:hint="default"/>
        <w:b/>
      </w:rPr>
    </w:lvl>
    <w:lvl w:ilvl="5">
      <w:start w:val="1"/>
      <w:numFmt w:val="decimal"/>
      <w:lvlText w:val="%1.%2.%3.%4.%5.%6"/>
      <w:lvlJc w:val="left"/>
      <w:pPr>
        <w:tabs>
          <w:tab w:val="num" w:pos="5940"/>
        </w:tabs>
        <w:ind w:left="5940" w:hanging="144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7740"/>
        </w:tabs>
        <w:ind w:left="7740" w:hanging="144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2" w15:restartNumberingAfterBreak="0">
    <w:nsid w:val="14B3464F"/>
    <w:multiLevelType w:val="hybridMultilevel"/>
    <w:tmpl w:val="E820A25C"/>
    <w:lvl w:ilvl="0" w:tplc="508A4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0C01A7"/>
    <w:multiLevelType w:val="hybridMultilevel"/>
    <w:tmpl w:val="BB320416"/>
    <w:lvl w:ilvl="0" w:tplc="99501004">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4A33B4"/>
    <w:multiLevelType w:val="hybridMultilevel"/>
    <w:tmpl w:val="53821F1A"/>
    <w:lvl w:ilvl="0" w:tplc="EF1CC5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60D98"/>
    <w:multiLevelType w:val="multilevel"/>
    <w:tmpl w:val="99CEF110"/>
    <w:lvl w:ilvl="0">
      <w:start w:val="1"/>
      <w:numFmt w:val="decimal"/>
      <w:lvlRestart w:val="0"/>
      <w:pStyle w:val="AgreeL1"/>
      <w:lvlText w:val="Section %1."/>
      <w:lvlJc w:val="left"/>
      <w:pPr>
        <w:tabs>
          <w:tab w:val="num" w:pos="720"/>
        </w:tabs>
        <w:ind w:left="1800" w:hanging="1800"/>
      </w:pPr>
      <w:rPr>
        <w:rFonts w:ascii="Times New Roman" w:hAnsi="Times New Roman"/>
        <w:b/>
        <w:i w:val="0"/>
        <w:caps w:val="0"/>
        <w:color w:val="auto"/>
        <w:sz w:val="24"/>
        <w:u w:val="none"/>
      </w:rPr>
    </w:lvl>
    <w:lvl w:ilvl="1">
      <w:start w:val="1"/>
      <w:numFmt w:val="decimal"/>
      <w:pStyle w:val="AgreeL2"/>
      <w:isLgl/>
      <w:lvlText w:val="%1.%2"/>
      <w:lvlJc w:val="left"/>
      <w:pPr>
        <w:tabs>
          <w:tab w:val="num" w:pos="1440"/>
        </w:tabs>
        <w:ind w:left="0" w:firstLine="720"/>
      </w:pPr>
      <w:rPr>
        <w:rFonts w:ascii="Times New Roman" w:hAnsi="Times New Roman"/>
        <w:b/>
        <w:i w:val="0"/>
        <w:caps w:val="0"/>
        <w:color w:val="auto"/>
        <w:sz w:val="20"/>
        <w:u w:val="none"/>
      </w:rPr>
    </w:lvl>
    <w:lvl w:ilvl="2">
      <w:start w:val="1"/>
      <w:numFmt w:val="lowerLetter"/>
      <w:pStyle w:val="AgreeL3"/>
      <w:suff w:val="space"/>
      <w:lvlText w:val="(%3) "/>
      <w:lvlJc w:val="left"/>
      <w:pPr>
        <w:tabs>
          <w:tab w:val="num" w:pos="2160"/>
        </w:tabs>
        <w:ind w:left="720" w:firstLine="720"/>
      </w:pPr>
      <w:rPr>
        <w:rFonts w:ascii="Times New Roman" w:hAnsi="Times New Roman"/>
        <w:b w:val="0"/>
        <w:i w:val="0"/>
        <w:caps w:val="0"/>
        <w:color w:val="auto"/>
        <w:sz w:val="20"/>
        <w:u w:val="none"/>
      </w:rPr>
    </w:lvl>
    <w:lvl w:ilvl="3">
      <w:start w:val="1"/>
      <w:numFmt w:val="decimal"/>
      <w:pStyle w:val="AgreeL4"/>
      <w:suff w:val="space"/>
      <w:lvlText w:val="(%4) "/>
      <w:lvlJc w:val="left"/>
      <w:pPr>
        <w:tabs>
          <w:tab w:val="num" w:pos="2880"/>
        </w:tabs>
        <w:ind w:left="1440" w:firstLine="720"/>
      </w:pPr>
      <w:rPr>
        <w:rFonts w:ascii="Times New Roman" w:hAnsi="Times New Roman"/>
        <w:b w:val="0"/>
        <w:i w:val="0"/>
        <w:caps w:val="0"/>
        <w:color w:val="auto"/>
        <w:sz w:val="20"/>
        <w:u w:val="none"/>
      </w:rPr>
    </w:lvl>
    <w:lvl w:ilvl="4">
      <w:start w:val="1"/>
      <w:numFmt w:val="upperLetter"/>
      <w:pStyle w:val="AgreeL5"/>
      <w:suff w:val="space"/>
      <w:lvlText w:val="(%5) "/>
      <w:lvlJc w:val="left"/>
      <w:pPr>
        <w:tabs>
          <w:tab w:val="num" w:pos="3600"/>
        </w:tabs>
        <w:ind w:left="2160" w:firstLine="720"/>
      </w:pPr>
      <w:rPr>
        <w:rFonts w:ascii="Times New Roman" w:hAnsi="Times New Roman"/>
        <w:b w:val="0"/>
        <w:i w:val="0"/>
        <w:caps w:val="0"/>
        <w:color w:val="auto"/>
        <w:sz w:val="20"/>
        <w:u w:val="none"/>
      </w:rPr>
    </w:lvl>
    <w:lvl w:ilvl="5">
      <w:start w:val="1"/>
      <w:numFmt w:val="decimal"/>
      <w:lvlText w:val="(%6)"/>
      <w:lvlJc w:val="left"/>
      <w:pPr>
        <w:tabs>
          <w:tab w:val="num" w:pos="4320"/>
        </w:tabs>
        <w:ind w:left="0" w:firstLine="3600"/>
      </w:pPr>
      <w:rPr>
        <w:rFonts w:ascii="Times New Roman" w:hAnsi="Times New Roman"/>
        <w:b w:val="0"/>
        <w:i w:val="0"/>
        <w:caps w:val="0"/>
        <w:color w:val="auto"/>
        <w:sz w:val="20"/>
        <w:u w:val="none"/>
      </w:rPr>
    </w:lvl>
    <w:lvl w:ilvl="6">
      <w:start w:val="1"/>
      <w:numFmt w:val="lowerLetter"/>
      <w:lvlText w:val="%7."/>
      <w:lvlJc w:val="left"/>
      <w:pPr>
        <w:tabs>
          <w:tab w:val="num" w:pos="5040"/>
        </w:tabs>
        <w:ind w:left="0" w:firstLine="4320"/>
      </w:pPr>
      <w:rPr>
        <w:rFonts w:ascii="Times New Roman" w:hAnsi="Times New Roman"/>
        <w:b w:val="0"/>
        <w:i w:val="0"/>
        <w:caps w:val="0"/>
        <w:color w:val="auto"/>
        <w:sz w:val="20"/>
        <w:u w:val="none"/>
      </w:rPr>
    </w:lvl>
    <w:lvl w:ilvl="7">
      <w:start w:val="1"/>
      <w:numFmt w:val="lowerRoman"/>
      <w:lvlText w:val="%8."/>
      <w:lvlJc w:val="left"/>
      <w:pPr>
        <w:tabs>
          <w:tab w:val="num" w:pos="5760"/>
        </w:tabs>
        <w:ind w:left="0" w:firstLine="5040"/>
      </w:pPr>
      <w:rPr>
        <w:rFonts w:ascii="Times New Roman" w:hAnsi="Times New Roman"/>
        <w:b w:val="0"/>
        <w:i w:val="0"/>
        <w:caps w:val="0"/>
        <w:color w:val="auto"/>
        <w:sz w:val="20"/>
        <w:u w:val="none"/>
      </w:rPr>
    </w:lvl>
    <w:lvl w:ilvl="8">
      <w:start w:val="1"/>
      <w:numFmt w:val="decimal"/>
      <w:lvlText w:val="%9."/>
      <w:lvlJc w:val="left"/>
      <w:pPr>
        <w:tabs>
          <w:tab w:val="num" w:pos="6480"/>
        </w:tabs>
        <w:ind w:left="0" w:firstLine="5760"/>
      </w:pPr>
      <w:rPr>
        <w:rFonts w:ascii="Times New Roman" w:hAnsi="Times New Roman"/>
        <w:b w:val="0"/>
        <w:i w:val="0"/>
        <w:caps w:val="0"/>
        <w:color w:val="auto"/>
        <w:sz w:val="20"/>
        <w:u w:val="none"/>
      </w:rPr>
    </w:lvl>
  </w:abstractNum>
  <w:abstractNum w:abstractNumId="6" w15:restartNumberingAfterBreak="0">
    <w:nsid w:val="2B191AF1"/>
    <w:multiLevelType w:val="hybridMultilevel"/>
    <w:tmpl w:val="49C0DCEC"/>
    <w:lvl w:ilvl="0" w:tplc="87425D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21D21"/>
    <w:multiLevelType w:val="hybridMultilevel"/>
    <w:tmpl w:val="02803234"/>
    <w:lvl w:ilvl="0" w:tplc="6610F4F0">
      <w:start w:val="1"/>
      <w:numFmt w:val="lowerLetter"/>
      <w:lvlText w:val="(%1)"/>
      <w:lvlJc w:val="left"/>
      <w:pPr>
        <w:tabs>
          <w:tab w:val="num" w:pos="2340"/>
        </w:tabs>
        <w:ind w:left="2340" w:hanging="1440"/>
      </w:pPr>
      <w:rPr>
        <w:rFonts w:hint="default"/>
      </w:rPr>
    </w:lvl>
    <w:lvl w:ilvl="1" w:tplc="834C5F0E">
      <w:start w:val="1"/>
      <w:numFmt w:val="upperLetter"/>
      <w:lvlText w:val="%2."/>
      <w:lvlJc w:val="left"/>
      <w:pPr>
        <w:tabs>
          <w:tab w:val="num" w:pos="3060"/>
        </w:tabs>
        <w:ind w:left="3060" w:hanging="144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303A643B"/>
    <w:multiLevelType w:val="hybridMultilevel"/>
    <w:tmpl w:val="17961948"/>
    <w:lvl w:ilvl="0" w:tplc="64BCFB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17A3D"/>
    <w:multiLevelType w:val="hybridMultilevel"/>
    <w:tmpl w:val="DABE5EBA"/>
    <w:lvl w:ilvl="0" w:tplc="818434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339E1"/>
    <w:multiLevelType w:val="hybridMultilevel"/>
    <w:tmpl w:val="53A2D462"/>
    <w:lvl w:ilvl="0" w:tplc="69925CDA">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E04AA0"/>
    <w:multiLevelType w:val="hybridMultilevel"/>
    <w:tmpl w:val="BF90AF38"/>
    <w:lvl w:ilvl="0" w:tplc="7F5203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E1A59"/>
    <w:multiLevelType w:val="hybridMultilevel"/>
    <w:tmpl w:val="24CE6CB6"/>
    <w:lvl w:ilvl="0" w:tplc="BC0EFD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C5695B"/>
    <w:multiLevelType w:val="hybridMultilevel"/>
    <w:tmpl w:val="10BAF248"/>
    <w:lvl w:ilvl="0" w:tplc="46D81FEC">
      <w:start w:val="1"/>
      <w:numFmt w:val="lowerLetter"/>
      <w:lvlText w:val="(%1)"/>
      <w:lvlJc w:val="left"/>
      <w:pPr>
        <w:tabs>
          <w:tab w:val="num" w:pos="2340"/>
        </w:tabs>
        <w:ind w:left="2340" w:hanging="1440"/>
      </w:pPr>
      <w:rPr>
        <w:rFonts w:hint="default"/>
      </w:rPr>
    </w:lvl>
    <w:lvl w:ilvl="1" w:tplc="3F8AE8D4">
      <w:start w:val="5"/>
      <w:numFmt w:val="lowerRoman"/>
      <w:lvlText w:val="(%2)"/>
      <w:lvlJc w:val="left"/>
      <w:pPr>
        <w:tabs>
          <w:tab w:val="num" w:pos="2340"/>
        </w:tabs>
        <w:ind w:left="2340" w:hanging="72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15:restartNumberingAfterBreak="0">
    <w:nsid w:val="46765E59"/>
    <w:multiLevelType w:val="singleLevel"/>
    <w:tmpl w:val="B7385504"/>
    <w:lvl w:ilvl="0">
      <w:start w:val="1"/>
      <w:numFmt w:val="upperLetter"/>
      <w:pStyle w:val="Heading5"/>
      <w:lvlText w:val="%1."/>
      <w:lvlJc w:val="left"/>
      <w:pPr>
        <w:tabs>
          <w:tab w:val="num" w:pos="1440"/>
        </w:tabs>
        <w:ind w:left="1440" w:hanging="720"/>
      </w:pPr>
      <w:rPr>
        <w:rFonts w:hint="default"/>
      </w:rPr>
    </w:lvl>
  </w:abstractNum>
  <w:abstractNum w:abstractNumId="15" w15:restartNumberingAfterBreak="0">
    <w:nsid w:val="4B8F6952"/>
    <w:multiLevelType w:val="multilevel"/>
    <w:tmpl w:val="82FC7FE4"/>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D032CF7"/>
    <w:multiLevelType w:val="hybridMultilevel"/>
    <w:tmpl w:val="038C8F6C"/>
    <w:lvl w:ilvl="0" w:tplc="E8B64D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A346E7"/>
    <w:multiLevelType w:val="hybridMultilevel"/>
    <w:tmpl w:val="BCA6C268"/>
    <w:lvl w:ilvl="0" w:tplc="A1A6F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25581C"/>
    <w:multiLevelType w:val="hybridMultilevel"/>
    <w:tmpl w:val="AF7467EC"/>
    <w:lvl w:ilvl="0" w:tplc="ED1E53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4E56C2"/>
    <w:multiLevelType w:val="hybridMultilevel"/>
    <w:tmpl w:val="E0FCA0B4"/>
    <w:lvl w:ilvl="0" w:tplc="5002AB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6C4AB2"/>
    <w:multiLevelType w:val="multilevel"/>
    <w:tmpl w:val="CD326DC6"/>
    <w:lvl w:ilvl="0">
      <w:start w:val="1"/>
      <w:numFmt w:val="lowerLetter"/>
      <w:lvlText w:val="(%1)"/>
      <w:lvlJc w:val="left"/>
      <w:pPr>
        <w:tabs>
          <w:tab w:val="num" w:pos="2160"/>
        </w:tabs>
        <w:ind w:left="2160" w:hanging="1440"/>
      </w:pPr>
      <w:rPr>
        <w:rFonts w:hint="default"/>
      </w:rPr>
    </w:lvl>
    <w:lvl w:ilvl="1">
      <w:start w:val="1"/>
      <w:numFmt w:val="lowerRoman"/>
      <w:lvlText w:val="(%2)"/>
      <w:lvlJc w:val="righ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15:restartNumberingAfterBreak="0">
    <w:nsid w:val="6912210E"/>
    <w:multiLevelType w:val="hybridMultilevel"/>
    <w:tmpl w:val="84DC8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1A3F8E"/>
    <w:multiLevelType w:val="hybridMultilevel"/>
    <w:tmpl w:val="20BE76DC"/>
    <w:lvl w:ilvl="0" w:tplc="15ACE5A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7324FC"/>
    <w:multiLevelType w:val="multilevel"/>
    <w:tmpl w:val="F722611C"/>
    <w:lvl w:ilvl="0">
      <w:start w:val="14"/>
      <w:numFmt w:val="lowerLetter"/>
      <w:lvlText w:val="(%1)"/>
      <w:lvlJc w:val="left"/>
      <w:pPr>
        <w:tabs>
          <w:tab w:val="num" w:pos="2160"/>
        </w:tabs>
        <w:ind w:left="2160" w:hanging="1440"/>
      </w:pPr>
      <w:rPr>
        <w:rFonts w:hint="default"/>
      </w:rPr>
    </w:lvl>
    <w:lvl w:ilvl="1">
      <w:start w:val="1"/>
      <w:numFmt w:val="lowerRoman"/>
      <w:lvlText w:val="(%2)"/>
      <w:lvlJc w:val="righ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4" w15:restartNumberingAfterBreak="0">
    <w:nsid w:val="71A87E82"/>
    <w:multiLevelType w:val="hybridMultilevel"/>
    <w:tmpl w:val="7B90A6A4"/>
    <w:lvl w:ilvl="0" w:tplc="3384DE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956A7E"/>
    <w:multiLevelType w:val="hybridMultilevel"/>
    <w:tmpl w:val="007E5070"/>
    <w:lvl w:ilvl="0" w:tplc="72769FB2">
      <w:start w:val="1"/>
      <w:numFmt w:val="lowerLetter"/>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2B525D"/>
    <w:multiLevelType w:val="hybridMultilevel"/>
    <w:tmpl w:val="54D271D6"/>
    <w:lvl w:ilvl="0" w:tplc="5614D8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4E7315"/>
    <w:multiLevelType w:val="hybridMultilevel"/>
    <w:tmpl w:val="6E46F5C8"/>
    <w:lvl w:ilvl="0" w:tplc="367CA57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81669F"/>
    <w:multiLevelType w:val="hybridMultilevel"/>
    <w:tmpl w:val="AF7467EC"/>
    <w:lvl w:ilvl="0" w:tplc="ED1E53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38235439">
    <w:abstractNumId w:val="14"/>
  </w:num>
  <w:num w:numId="2" w16cid:durableId="1622422008">
    <w:abstractNumId w:val="20"/>
  </w:num>
  <w:num w:numId="3" w16cid:durableId="871842641">
    <w:abstractNumId w:val="1"/>
  </w:num>
  <w:num w:numId="4" w16cid:durableId="1111902307">
    <w:abstractNumId w:val="13"/>
  </w:num>
  <w:num w:numId="5" w16cid:durableId="1920360518">
    <w:abstractNumId w:val="7"/>
  </w:num>
  <w:num w:numId="6" w16cid:durableId="56050154">
    <w:abstractNumId w:val="5"/>
  </w:num>
  <w:num w:numId="7" w16cid:durableId="917059337">
    <w:abstractNumId w:val="21"/>
  </w:num>
  <w:num w:numId="8" w16cid:durableId="1818839841">
    <w:abstractNumId w:val="23"/>
  </w:num>
  <w:num w:numId="9" w16cid:durableId="10679952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22705245">
    <w:abstractNumId w:val="25"/>
  </w:num>
  <w:num w:numId="11" w16cid:durableId="171451748">
    <w:abstractNumId w:val="22"/>
  </w:num>
  <w:num w:numId="12" w16cid:durableId="314266207">
    <w:abstractNumId w:val="3"/>
  </w:num>
  <w:num w:numId="13" w16cid:durableId="1141268304">
    <w:abstractNumId w:val="2"/>
  </w:num>
  <w:num w:numId="14" w16cid:durableId="1720010312">
    <w:abstractNumId w:val="24"/>
  </w:num>
  <w:num w:numId="15" w16cid:durableId="1507943263">
    <w:abstractNumId w:val="16"/>
  </w:num>
  <w:num w:numId="16" w16cid:durableId="1029643730">
    <w:abstractNumId w:val="11"/>
  </w:num>
  <w:num w:numId="17" w16cid:durableId="1612737778">
    <w:abstractNumId w:val="27"/>
  </w:num>
  <w:num w:numId="18" w16cid:durableId="423382242">
    <w:abstractNumId w:val="8"/>
  </w:num>
  <w:num w:numId="19" w16cid:durableId="350689430">
    <w:abstractNumId w:val="19"/>
  </w:num>
  <w:num w:numId="20" w16cid:durableId="1683236674">
    <w:abstractNumId w:val="4"/>
  </w:num>
  <w:num w:numId="21" w16cid:durableId="1434090260">
    <w:abstractNumId w:val="0"/>
  </w:num>
  <w:num w:numId="22" w16cid:durableId="551040094">
    <w:abstractNumId w:val="10"/>
  </w:num>
  <w:num w:numId="23" w16cid:durableId="721251178">
    <w:abstractNumId w:val="6"/>
  </w:num>
  <w:num w:numId="24" w16cid:durableId="596016019">
    <w:abstractNumId w:val="9"/>
  </w:num>
  <w:num w:numId="25" w16cid:durableId="1708675645">
    <w:abstractNumId w:val="15"/>
  </w:num>
  <w:num w:numId="26" w16cid:durableId="20514437">
    <w:abstractNumId w:val="26"/>
  </w:num>
  <w:num w:numId="27" w16cid:durableId="1494446100">
    <w:abstractNumId w:val="17"/>
  </w:num>
  <w:num w:numId="28" w16cid:durableId="746809372">
    <w:abstractNumId w:val="28"/>
  </w:num>
  <w:num w:numId="29" w16cid:durableId="1059087050">
    <w:abstractNumId w:val="12"/>
  </w:num>
  <w:num w:numId="30" w16cid:durableId="92453892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F4E"/>
    <w:rsid w:val="00000AE7"/>
    <w:rsid w:val="00001184"/>
    <w:rsid w:val="000027B5"/>
    <w:rsid w:val="00004034"/>
    <w:rsid w:val="00004C17"/>
    <w:rsid w:val="000066D6"/>
    <w:rsid w:val="00007867"/>
    <w:rsid w:val="0001236B"/>
    <w:rsid w:val="00012BDA"/>
    <w:rsid w:val="00013081"/>
    <w:rsid w:val="0002392D"/>
    <w:rsid w:val="00024BE9"/>
    <w:rsid w:val="00026C70"/>
    <w:rsid w:val="0002775A"/>
    <w:rsid w:val="00030F4F"/>
    <w:rsid w:val="000332C2"/>
    <w:rsid w:val="000364B3"/>
    <w:rsid w:val="00037FC4"/>
    <w:rsid w:val="00040D93"/>
    <w:rsid w:val="0004278C"/>
    <w:rsid w:val="00042EEF"/>
    <w:rsid w:val="000447DD"/>
    <w:rsid w:val="00045DB6"/>
    <w:rsid w:val="0004615B"/>
    <w:rsid w:val="00050603"/>
    <w:rsid w:val="000523FC"/>
    <w:rsid w:val="00056D7E"/>
    <w:rsid w:val="000622EB"/>
    <w:rsid w:val="00062EE5"/>
    <w:rsid w:val="00064AA3"/>
    <w:rsid w:val="00066FA5"/>
    <w:rsid w:val="00072B1C"/>
    <w:rsid w:val="000764C3"/>
    <w:rsid w:val="00076AA8"/>
    <w:rsid w:val="00080676"/>
    <w:rsid w:val="0008090A"/>
    <w:rsid w:val="000837DD"/>
    <w:rsid w:val="000838D6"/>
    <w:rsid w:val="00084F12"/>
    <w:rsid w:val="000852A0"/>
    <w:rsid w:val="00085426"/>
    <w:rsid w:val="0008768B"/>
    <w:rsid w:val="00090DE7"/>
    <w:rsid w:val="00094F52"/>
    <w:rsid w:val="00096649"/>
    <w:rsid w:val="00097B29"/>
    <w:rsid w:val="000A167C"/>
    <w:rsid w:val="000A22E2"/>
    <w:rsid w:val="000A283D"/>
    <w:rsid w:val="000A4D48"/>
    <w:rsid w:val="000A4FD7"/>
    <w:rsid w:val="000A5A58"/>
    <w:rsid w:val="000A5E0F"/>
    <w:rsid w:val="000A6041"/>
    <w:rsid w:val="000A7EA5"/>
    <w:rsid w:val="000B105C"/>
    <w:rsid w:val="000B35A6"/>
    <w:rsid w:val="000B4A10"/>
    <w:rsid w:val="000B63AB"/>
    <w:rsid w:val="000C030A"/>
    <w:rsid w:val="000C08E2"/>
    <w:rsid w:val="000C3B86"/>
    <w:rsid w:val="000C48A3"/>
    <w:rsid w:val="000C6145"/>
    <w:rsid w:val="000C65BE"/>
    <w:rsid w:val="000C670C"/>
    <w:rsid w:val="000C74BB"/>
    <w:rsid w:val="000D4186"/>
    <w:rsid w:val="000D4EDE"/>
    <w:rsid w:val="000D53AD"/>
    <w:rsid w:val="000D5F37"/>
    <w:rsid w:val="000D7FA2"/>
    <w:rsid w:val="000E0979"/>
    <w:rsid w:val="000E2116"/>
    <w:rsid w:val="000E42F0"/>
    <w:rsid w:val="000E4819"/>
    <w:rsid w:val="000E515A"/>
    <w:rsid w:val="000E56BC"/>
    <w:rsid w:val="000E6E08"/>
    <w:rsid w:val="000F113A"/>
    <w:rsid w:val="000F2812"/>
    <w:rsid w:val="000F2A2F"/>
    <w:rsid w:val="000F3DBA"/>
    <w:rsid w:val="00102231"/>
    <w:rsid w:val="00102F20"/>
    <w:rsid w:val="00105B0E"/>
    <w:rsid w:val="0011368F"/>
    <w:rsid w:val="0011484D"/>
    <w:rsid w:val="00114B5D"/>
    <w:rsid w:val="001157FB"/>
    <w:rsid w:val="00116575"/>
    <w:rsid w:val="0012023D"/>
    <w:rsid w:val="0012313B"/>
    <w:rsid w:val="00123303"/>
    <w:rsid w:val="0012514B"/>
    <w:rsid w:val="00131B3A"/>
    <w:rsid w:val="001328D6"/>
    <w:rsid w:val="00135910"/>
    <w:rsid w:val="001364EA"/>
    <w:rsid w:val="0013660E"/>
    <w:rsid w:val="001403D4"/>
    <w:rsid w:val="00140A20"/>
    <w:rsid w:val="001411CF"/>
    <w:rsid w:val="00142446"/>
    <w:rsid w:val="001424B4"/>
    <w:rsid w:val="00146925"/>
    <w:rsid w:val="00150899"/>
    <w:rsid w:val="00151D4F"/>
    <w:rsid w:val="00152722"/>
    <w:rsid w:val="00152F4C"/>
    <w:rsid w:val="001559B7"/>
    <w:rsid w:val="00156F1E"/>
    <w:rsid w:val="00157D22"/>
    <w:rsid w:val="00167B41"/>
    <w:rsid w:val="00167EED"/>
    <w:rsid w:val="001706C4"/>
    <w:rsid w:val="00170773"/>
    <w:rsid w:val="001727FA"/>
    <w:rsid w:val="00183DDD"/>
    <w:rsid w:val="001851D9"/>
    <w:rsid w:val="00187686"/>
    <w:rsid w:val="00191E0F"/>
    <w:rsid w:val="00195BCB"/>
    <w:rsid w:val="0019759F"/>
    <w:rsid w:val="001A2DCA"/>
    <w:rsid w:val="001A4ECC"/>
    <w:rsid w:val="001B4DDD"/>
    <w:rsid w:val="001B51EC"/>
    <w:rsid w:val="001E085E"/>
    <w:rsid w:val="001E4485"/>
    <w:rsid w:val="001E46D4"/>
    <w:rsid w:val="001E55BA"/>
    <w:rsid w:val="001E6F74"/>
    <w:rsid w:val="001F106F"/>
    <w:rsid w:val="001F11F7"/>
    <w:rsid w:val="001F4EC9"/>
    <w:rsid w:val="002017D8"/>
    <w:rsid w:val="00213087"/>
    <w:rsid w:val="00213093"/>
    <w:rsid w:val="002146C0"/>
    <w:rsid w:val="002200AC"/>
    <w:rsid w:val="00220C19"/>
    <w:rsid w:val="00221579"/>
    <w:rsid w:val="002303D0"/>
    <w:rsid w:val="002327C7"/>
    <w:rsid w:val="0023428B"/>
    <w:rsid w:val="00235220"/>
    <w:rsid w:val="002370E1"/>
    <w:rsid w:val="002429EE"/>
    <w:rsid w:val="002455C8"/>
    <w:rsid w:val="002455FF"/>
    <w:rsid w:val="00246864"/>
    <w:rsid w:val="00252F47"/>
    <w:rsid w:val="0025411D"/>
    <w:rsid w:val="002558EA"/>
    <w:rsid w:val="0025624E"/>
    <w:rsid w:val="00257184"/>
    <w:rsid w:val="00272370"/>
    <w:rsid w:val="002725BF"/>
    <w:rsid w:val="00276618"/>
    <w:rsid w:val="002813C4"/>
    <w:rsid w:val="00283526"/>
    <w:rsid w:val="00284A75"/>
    <w:rsid w:val="0028605C"/>
    <w:rsid w:val="0028715D"/>
    <w:rsid w:val="002873F5"/>
    <w:rsid w:val="00290330"/>
    <w:rsid w:val="0029076E"/>
    <w:rsid w:val="00290CD6"/>
    <w:rsid w:val="00295152"/>
    <w:rsid w:val="00296ACE"/>
    <w:rsid w:val="002A245C"/>
    <w:rsid w:val="002A2D9B"/>
    <w:rsid w:val="002A3AA5"/>
    <w:rsid w:val="002A48AD"/>
    <w:rsid w:val="002A4C11"/>
    <w:rsid w:val="002A58D3"/>
    <w:rsid w:val="002A599C"/>
    <w:rsid w:val="002A62AF"/>
    <w:rsid w:val="002A6649"/>
    <w:rsid w:val="002A7B21"/>
    <w:rsid w:val="002B0851"/>
    <w:rsid w:val="002B23AE"/>
    <w:rsid w:val="002B2E0A"/>
    <w:rsid w:val="002B3DE7"/>
    <w:rsid w:val="002B43C1"/>
    <w:rsid w:val="002C0BFB"/>
    <w:rsid w:val="002C2158"/>
    <w:rsid w:val="002C3D85"/>
    <w:rsid w:val="002C58F4"/>
    <w:rsid w:val="002C5CB8"/>
    <w:rsid w:val="002D001F"/>
    <w:rsid w:val="002D0DD9"/>
    <w:rsid w:val="002D38BB"/>
    <w:rsid w:val="002D4F07"/>
    <w:rsid w:val="002D5597"/>
    <w:rsid w:val="002E2268"/>
    <w:rsid w:val="002E6859"/>
    <w:rsid w:val="002F0AA0"/>
    <w:rsid w:val="002F6754"/>
    <w:rsid w:val="003019EF"/>
    <w:rsid w:val="00305739"/>
    <w:rsid w:val="00306F3D"/>
    <w:rsid w:val="00310397"/>
    <w:rsid w:val="003118D7"/>
    <w:rsid w:val="0032074E"/>
    <w:rsid w:val="003212E7"/>
    <w:rsid w:val="00325CE0"/>
    <w:rsid w:val="0033133D"/>
    <w:rsid w:val="0033144D"/>
    <w:rsid w:val="00332769"/>
    <w:rsid w:val="00340D0C"/>
    <w:rsid w:val="00342CE7"/>
    <w:rsid w:val="00343A3E"/>
    <w:rsid w:val="0034533B"/>
    <w:rsid w:val="00356118"/>
    <w:rsid w:val="0035784A"/>
    <w:rsid w:val="00357EE3"/>
    <w:rsid w:val="0036173E"/>
    <w:rsid w:val="00362395"/>
    <w:rsid w:val="0036787F"/>
    <w:rsid w:val="00367D3C"/>
    <w:rsid w:val="00370071"/>
    <w:rsid w:val="003705B7"/>
    <w:rsid w:val="00370629"/>
    <w:rsid w:val="00372A80"/>
    <w:rsid w:val="00373F8E"/>
    <w:rsid w:val="0037589A"/>
    <w:rsid w:val="0037774F"/>
    <w:rsid w:val="00381A6A"/>
    <w:rsid w:val="00381DDD"/>
    <w:rsid w:val="00386C24"/>
    <w:rsid w:val="00392AF1"/>
    <w:rsid w:val="003952DB"/>
    <w:rsid w:val="003957BC"/>
    <w:rsid w:val="003970CF"/>
    <w:rsid w:val="003A0A78"/>
    <w:rsid w:val="003A181D"/>
    <w:rsid w:val="003A2811"/>
    <w:rsid w:val="003A35A3"/>
    <w:rsid w:val="003A7302"/>
    <w:rsid w:val="003A76D4"/>
    <w:rsid w:val="003A7724"/>
    <w:rsid w:val="003B1E6A"/>
    <w:rsid w:val="003B6C05"/>
    <w:rsid w:val="003C0FD5"/>
    <w:rsid w:val="003C1690"/>
    <w:rsid w:val="003C2E84"/>
    <w:rsid w:val="003C482D"/>
    <w:rsid w:val="003C7CE6"/>
    <w:rsid w:val="003D471A"/>
    <w:rsid w:val="003D481B"/>
    <w:rsid w:val="003D68E1"/>
    <w:rsid w:val="003E3071"/>
    <w:rsid w:val="003F15E7"/>
    <w:rsid w:val="003F2671"/>
    <w:rsid w:val="003F59E9"/>
    <w:rsid w:val="003F5A46"/>
    <w:rsid w:val="003F643D"/>
    <w:rsid w:val="00400F2A"/>
    <w:rsid w:val="004034D5"/>
    <w:rsid w:val="00406819"/>
    <w:rsid w:val="00415E24"/>
    <w:rsid w:val="004169B0"/>
    <w:rsid w:val="004230DF"/>
    <w:rsid w:val="00424598"/>
    <w:rsid w:val="00424623"/>
    <w:rsid w:val="00424D97"/>
    <w:rsid w:val="004313C7"/>
    <w:rsid w:val="00432529"/>
    <w:rsid w:val="004346A0"/>
    <w:rsid w:val="0043775C"/>
    <w:rsid w:val="00441BE1"/>
    <w:rsid w:val="0044503E"/>
    <w:rsid w:val="0044524B"/>
    <w:rsid w:val="00453FFE"/>
    <w:rsid w:val="00454A55"/>
    <w:rsid w:val="004559D9"/>
    <w:rsid w:val="00455DB1"/>
    <w:rsid w:val="00455F20"/>
    <w:rsid w:val="00462697"/>
    <w:rsid w:val="004637DE"/>
    <w:rsid w:val="004642C1"/>
    <w:rsid w:val="00465E54"/>
    <w:rsid w:val="0047099D"/>
    <w:rsid w:val="004723C4"/>
    <w:rsid w:val="00477C44"/>
    <w:rsid w:val="00483CA3"/>
    <w:rsid w:val="0049372E"/>
    <w:rsid w:val="00493FAE"/>
    <w:rsid w:val="00494D5B"/>
    <w:rsid w:val="0049758A"/>
    <w:rsid w:val="0049792E"/>
    <w:rsid w:val="004A05CB"/>
    <w:rsid w:val="004A7B49"/>
    <w:rsid w:val="004B34BF"/>
    <w:rsid w:val="004B351B"/>
    <w:rsid w:val="004B3E41"/>
    <w:rsid w:val="004B492F"/>
    <w:rsid w:val="004B6583"/>
    <w:rsid w:val="004B7F9D"/>
    <w:rsid w:val="004C00B2"/>
    <w:rsid w:val="004C17BE"/>
    <w:rsid w:val="004C1D7B"/>
    <w:rsid w:val="004C1E86"/>
    <w:rsid w:val="004C29E1"/>
    <w:rsid w:val="004C49AB"/>
    <w:rsid w:val="004C4C3C"/>
    <w:rsid w:val="004C6526"/>
    <w:rsid w:val="004C6F75"/>
    <w:rsid w:val="004D0B34"/>
    <w:rsid w:val="004D3579"/>
    <w:rsid w:val="004D4E3F"/>
    <w:rsid w:val="004D718D"/>
    <w:rsid w:val="004E2642"/>
    <w:rsid w:val="004E54D0"/>
    <w:rsid w:val="004E7C59"/>
    <w:rsid w:val="004F34DF"/>
    <w:rsid w:val="004F52DC"/>
    <w:rsid w:val="004F6946"/>
    <w:rsid w:val="005014E1"/>
    <w:rsid w:val="00506496"/>
    <w:rsid w:val="00507B8C"/>
    <w:rsid w:val="00507FFC"/>
    <w:rsid w:val="005125B8"/>
    <w:rsid w:val="005147D1"/>
    <w:rsid w:val="00515DFD"/>
    <w:rsid w:val="005216BE"/>
    <w:rsid w:val="00523DF0"/>
    <w:rsid w:val="0052750D"/>
    <w:rsid w:val="0053505B"/>
    <w:rsid w:val="00536E59"/>
    <w:rsid w:val="005418BE"/>
    <w:rsid w:val="00542A01"/>
    <w:rsid w:val="0054563A"/>
    <w:rsid w:val="00545947"/>
    <w:rsid w:val="005464AD"/>
    <w:rsid w:val="005464F3"/>
    <w:rsid w:val="0054720B"/>
    <w:rsid w:val="005500D6"/>
    <w:rsid w:val="005540E4"/>
    <w:rsid w:val="00554832"/>
    <w:rsid w:val="005556A7"/>
    <w:rsid w:val="0055713B"/>
    <w:rsid w:val="00564734"/>
    <w:rsid w:val="00570B41"/>
    <w:rsid w:val="00570D74"/>
    <w:rsid w:val="00571BEC"/>
    <w:rsid w:val="00573A93"/>
    <w:rsid w:val="005763CA"/>
    <w:rsid w:val="005819F0"/>
    <w:rsid w:val="0058260F"/>
    <w:rsid w:val="00583BB4"/>
    <w:rsid w:val="00590E52"/>
    <w:rsid w:val="0059488A"/>
    <w:rsid w:val="0059706E"/>
    <w:rsid w:val="005A1E1D"/>
    <w:rsid w:val="005A2ED5"/>
    <w:rsid w:val="005A4FF9"/>
    <w:rsid w:val="005A5432"/>
    <w:rsid w:val="005B0784"/>
    <w:rsid w:val="005B1F52"/>
    <w:rsid w:val="005B55C2"/>
    <w:rsid w:val="005B5EEB"/>
    <w:rsid w:val="005C205E"/>
    <w:rsid w:val="005C4C3F"/>
    <w:rsid w:val="005C72A6"/>
    <w:rsid w:val="005D1047"/>
    <w:rsid w:val="005D2687"/>
    <w:rsid w:val="005D2815"/>
    <w:rsid w:val="005D2D70"/>
    <w:rsid w:val="005D4BA5"/>
    <w:rsid w:val="005E10A9"/>
    <w:rsid w:val="005E1BE7"/>
    <w:rsid w:val="005E7F0D"/>
    <w:rsid w:val="005F07E3"/>
    <w:rsid w:val="005F42C6"/>
    <w:rsid w:val="005F4EF0"/>
    <w:rsid w:val="005F7762"/>
    <w:rsid w:val="006007DE"/>
    <w:rsid w:val="006030A7"/>
    <w:rsid w:val="00603520"/>
    <w:rsid w:val="00605495"/>
    <w:rsid w:val="006063A8"/>
    <w:rsid w:val="00606AE7"/>
    <w:rsid w:val="006138DE"/>
    <w:rsid w:val="00613EBF"/>
    <w:rsid w:val="0061513A"/>
    <w:rsid w:val="00616729"/>
    <w:rsid w:val="00620CF9"/>
    <w:rsid w:val="00626366"/>
    <w:rsid w:val="00626670"/>
    <w:rsid w:val="006358AE"/>
    <w:rsid w:val="00636135"/>
    <w:rsid w:val="00641F88"/>
    <w:rsid w:val="00642B23"/>
    <w:rsid w:val="00643BD9"/>
    <w:rsid w:val="00646AFE"/>
    <w:rsid w:val="00647C66"/>
    <w:rsid w:val="0065006E"/>
    <w:rsid w:val="00650DDE"/>
    <w:rsid w:val="00651634"/>
    <w:rsid w:val="00651FD9"/>
    <w:rsid w:val="006536B2"/>
    <w:rsid w:val="0065644E"/>
    <w:rsid w:val="00657B67"/>
    <w:rsid w:val="00657F6F"/>
    <w:rsid w:val="00665F83"/>
    <w:rsid w:val="006668E5"/>
    <w:rsid w:val="0066794A"/>
    <w:rsid w:val="00670E38"/>
    <w:rsid w:val="006724B7"/>
    <w:rsid w:val="00674129"/>
    <w:rsid w:val="00674411"/>
    <w:rsid w:val="00675DB0"/>
    <w:rsid w:val="006771B3"/>
    <w:rsid w:val="0068361B"/>
    <w:rsid w:val="00692701"/>
    <w:rsid w:val="006A17D5"/>
    <w:rsid w:val="006A1F87"/>
    <w:rsid w:val="006A4647"/>
    <w:rsid w:val="006A7525"/>
    <w:rsid w:val="006B4BFF"/>
    <w:rsid w:val="006B4C6C"/>
    <w:rsid w:val="006B5795"/>
    <w:rsid w:val="006B63C4"/>
    <w:rsid w:val="006B7702"/>
    <w:rsid w:val="006C024A"/>
    <w:rsid w:val="006C1699"/>
    <w:rsid w:val="006C1DF8"/>
    <w:rsid w:val="006C30DB"/>
    <w:rsid w:val="006C3B03"/>
    <w:rsid w:val="006C4834"/>
    <w:rsid w:val="006C4D62"/>
    <w:rsid w:val="006C560D"/>
    <w:rsid w:val="006D1BFF"/>
    <w:rsid w:val="006D2FCC"/>
    <w:rsid w:val="006D3F90"/>
    <w:rsid w:val="006D45B5"/>
    <w:rsid w:val="006D52AC"/>
    <w:rsid w:val="006D5A2B"/>
    <w:rsid w:val="006D65DE"/>
    <w:rsid w:val="006D69DC"/>
    <w:rsid w:val="006E0B9F"/>
    <w:rsid w:val="006E3DAF"/>
    <w:rsid w:val="006E7153"/>
    <w:rsid w:val="006F0914"/>
    <w:rsid w:val="006F21FA"/>
    <w:rsid w:val="006F4000"/>
    <w:rsid w:val="006F469B"/>
    <w:rsid w:val="006F4F4F"/>
    <w:rsid w:val="006F6DEE"/>
    <w:rsid w:val="006F7449"/>
    <w:rsid w:val="00701D87"/>
    <w:rsid w:val="00703309"/>
    <w:rsid w:val="0070563B"/>
    <w:rsid w:val="0070686F"/>
    <w:rsid w:val="0071255E"/>
    <w:rsid w:val="00712ABF"/>
    <w:rsid w:val="0071560B"/>
    <w:rsid w:val="0072039A"/>
    <w:rsid w:val="0072183E"/>
    <w:rsid w:val="00723C86"/>
    <w:rsid w:val="0072486E"/>
    <w:rsid w:val="00725A94"/>
    <w:rsid w:val="00725B97"/>
    <w:rsid w:val="00726C2E"/>
    <w:rsid w:val="0072779C"/>
    <w:rsid w:val="00731063"/>
    <w:rsid w:val="0073202F"/>
    <w:rsid w:val="007348D3"/>
    <w:rsid w:val="00735A37"/>
    <w:rsid w:val="007369D4"/>
    <w:rsid w:val="00741007"/>
    <w:rsid w:val="00741A34"/>
    <w:rsid w:val="00744C55"/>
    <w:rsid w:val="007462CF"/>
    <w:rsid w:val="00747CA4"/>
    <w:rsid w:val="00750109"/>
    <w:rsid w:val="00754CC8"/>
    <w:rsid w:val="0075737F"/>
    <w:rsid w:val="00757723"/>
    <w:rsid w:val="007607E2"/>
    <w:rsid w:val="00763C49"/>
    <w:rsid w:val="00765E10"/>
    <w:rsid w:val="00766AD6"/>
    <w:rsid w:val="007700C9"/>
    <w:rsid w:val="00770B0A"/>
    <w:rsid w:val="007712B3"/>
    <w:rsid w:val="0077203C"/>
    <w:rsid w:val="007757A0"/>
    <w:rsid w:val="00775838"/>
    <w:rsid w:val="00777772"/>
    <w:rsid w:val="00781296"/>
    <w:rsid w:val="0078399C"/>
    <w:rsid w:val="00790534"/>
    <w:rsid w:val="007966DB"/>
    <w:rsid w:val="007A6C56"/>
    <w:rsid w:val="007B05BE"/>
    <w:rsid w:val="007B198D"/>
    <w:rsid w:val="007C15A6"/>
    <w:rsid w:val="007C3643"/>
    <w:rsid w:val="007C5EC2"/>
    <w:rsid w:val="007C7169"/>
    <w:rsid w:val="007C792D"/>
    <w:rsid w:val="007D0911"/>
    <w:rsid w:val="007E125C"/>
    <w:rsid w:val="007E1C20"/>
    <w:rsid w:val="007E30E9"/>
    <w:rsid w:val="007E33CF"/>
    <w:rsid w:val="007F207B"/>
    <w:rsid w:val="007F3236"/>
    <w:rsid w:val="00800096"/>
    <w:rsid w:val="00802DE3"/>
    <w:rsid w:val="0080414D"/>
    <w:rsid w:val="00805B72"/>
    <w:rsid w:val="0080646E"/>
    <w:rsid w:val="00807DD3"/>
    <w:rsid w:val="008159AA"/>
    <w:rsid w:val="0082214F"/>
    <w:rsid w:val="00822A70"/>
    <w:rsid w:val="00822BBD"/>
    <w:rsid w:val="00825708"/>
    <w:rsid w:val="00825C46"/>
    <w:rsid w:val="008324C8"/>
    <w:rsid w:val="00833476"/>
    <w:rsid w:val="00834F5B"/>
    <w:rsid w:val="0084089D"/>
    <w:rsid w:val="00845E40"/>
    <w:rsid w:val="00847AFA"/>
    <w:rsid w:val="0085192C"/>
    <w:rsid w:val="00853467"/>
    <w:rsid w:val="00855475"/>
    <w:rsid w:val="008629C8"/>
    <w:rsid w:val="00864B7D"/>
    <w:rsid w:val="00864F30"/>
    <w:rsid w:val="00865BEF"/>
    <w:rsid w:val="008663CC"/>
    <w:rsid w:val="00866596"/>
    <w:rsid w:val="00872BB5"/>
    <w:rsid w:val="008737E6"/>
    <w:rsid w:val="008746AA"/>
    <w:rsid w:val="00874B49"/>
    <w:rsid w:val="00877770"/>
    <w:rsid w:val="00880CB2"/>
    <w:rsid w:val="008817D7"/>
    <w:rsid w:val="00881C1E"/>
    <w:rsid w:val="00882704"/>
    <w:rsid w:val="00891053"/>
    <w:rsid w:val="0089167A"/>
    <w:rsid w:val="008967E9"/>
    <w:rsid w:val="008A0AF9"/>
    <w:rsid w:val="008A1D49"/>
    <w:rsid w:val="008A7BC1"/>
    <w:rsid w:val="008B0E77"/>
    <w:rsid w:val="008B1B53"/>
    <w:rsid w:val="008B2D32"/>
    <w:rsid w:val="008B357D"/>
    <w:rsid w:val="008B5339"/>
    <w:rsid w:val="008C2492"/>
    <w:rsid w:val="008C2512"/>
    <w:rsid w:val="008C4AB0"/>
    <w:rsid w:val="008C5341"/>
    <w:rsid w:val="008D44AD"/>
    <w:rsid w:val="008D798A"/>
    <w:rsid w:val="008E10D2"/>
    <w:rsid w:val="008E21FD"/>
    <w:rsid w:val="008E291D"/>
    <w:rsid w:val="008E4F7C"/>
    <w:rsid w:val="008E59E5"/>
    <w:rsid w:val="008E5E9B"/>
    <w:rsid w:val="008E668F"/>
    <w:rsid w:val="008F2477"/>
    <w:rsid w:val="008F4F46"/>
    <w:rsid w:val="008F6E08"/>
    <w:rsid w:val="00900108"/>
    <w:rsid w:val="00910538"/>
    <w:rsid w:val="00910CB5"/>
    <w:rsid w:val="00916790"/>
    <w:rsid w:val="009174C8"/>
    <w:rsid w:val="00922791"/>
    <w:rsid w:val="0092288A"/>
    <w:rsid w:val="00925653"/>
    <w:rsid w:val="00926AFC"/>
    <w:rsid w:val="00927735"/>
    <w:rsid w:val="00932E7E"/>
    <w:rsid w:val="00933DDC"/>
    <w:rsid w:val="0093489A"/>
    <w:rsid w:val="009354CC"/>
    <w:rsid w:val="0094209A"/>
    <w:rsid w:val="00944ED1"/>
    <w:rsid w:val="009461C8"/>
    <w:rsid w:val="00946BC0"/>
    <w:rsid w:val="00946C64"/>
    <w:rsid w:val="009474A1"/>
    <w:rsid w:val="00950F6C"/>
    <w:rsid w:val="00953EED"/>
    <w:rsid w:val="00956174"/>
    <w:rsid w:val="00972CF9"/>
    <w:rsid w:val="00973A60"/>
    <w:rsid w:val="009750AD"/>
    <w:rsid w:val="00975B52"/>
    <w:rsid w:val="009763DC"/>
    <w:rsid w:val="00976F9D"/>
    <w:rsid w:val="0098070C"/>
    <w:rsid w:val="00985273"/>
    <w:rsid w:val="009863A8"/>
    <w:rsid w:val="00987111"/>
    <w:rsid w:val="0099012E"/>
    <w:rsid w:val="009918EE"/>
    <w:rsid w:val="009920E4"/>
    <w:rsid w:val="00994118"/>
    <w:rsid w:val="009972D0"/>
    <w:rsid w:val="009A6E41"/>
    <w:rsid w:val="009B6D16"/>
    <w:rsid w:val="009C0A1A"/>
    <w:rsid w:val="009C46F3"/>
    <w:rsid w:val="009C5F3A"/>
    <w:rsid w:val="009C6F79"/>
    <w:rsid w:val="009D1C4A"/>
    <w:rsid w:val="009D4031"/>
    <w:rsid w:val="009D4CD6"/>
    <w:rsid w:val="009E2277"/>
    <w:rsid w:val="009E76D1"/>
    <w:rsid w:val="009F1BBE"/>
    <w:rsid w:val="009F464D"/>
    <w:rsid w:val="009F5AC4"/>
    <w:rsid w:val="009F5B86"/>
    <w:rsid w:val="009F6993"/>
    <w:rsid w:val="009F6E47"/>
    <w:rsid w:val="009F715C"/>
    <w:rsid w:val="009F7B31"/>
    <w:rsid w:val="00A04550"/>
    <w:rsid w:val="00A07C5E"/>
    <w:rsid w:val="00A1024A"/>
    <w:rsid w:val="00A123C9"/>
    <w:rsid w:val="00A12EC7"/>
    <w:rsid w:val="00A13EBF"/>
    <w:rsid w:val="00A14517"/>
    <w:rsid w:val="00A15584"/>
    <w:rsid w:val="00A16FDA"/>
    <w:rsid w:val="00A17884"/>
    <w:rsid w:val="00A17FCF"/>
    <w:rsid w:val="00A20305"/>
    <w:rsid w:val="00A219BB"/>
    <w:rsid w:val="00A21A24"/>
    <w:rsid w:val="00A22EED"/>
    <w:rsid w:val="00A2419B"/>
    <w:rsid w:val="00A26423"/>
    <w:rsid w:val="00A27B77"/>
    <w:rsid w:val="00A30B9E"/>
    <w:rsid w:val="00A35446"/>
    <w:rsid w:val="00A36E7A"/>
    <w:rsid w:val="00A400C8"/>
    <w:rsid w:val="00A4114D"/>
    <w:rsid w:val="00A418E4"/>
    <w:rsid w:val="00A422D7"/>
    <w:rsid w:val="00A42D2D"/>
    <w:rsid w:val="00A452B7"/>
    <w:rsid w:val="00A45F91"/>
    <w:rsid w:val="00A46440"/>
    <w:rsid w:val="00A46B0F"/>
    <w:rsid w:val="00A47B60"/>
    <w:rsid w:val="00A503D1"/>
    <w:rsid w:val="00A52197"/>
    <w:rsid w:val="00A5342C"/>
    <w:rsid w:val="00A5445C"/>
    <w:rsid w:val="00A6117B"/>
    <w:rsid w:val="00A61E51"/>
    <w:rsid w:val="00A62031"/>
    <w:rsid w:val="00A64136"/>
    <w:rsid w:val="00A67F7C"/>
    <w:rsid w:val="00A67F91"/>
    <w:rsid w:val="00A81FDE"/>
    <w:rsid w:val="00A839C9"/>
    <w:rsid w:val="00A846E1"/>
    <w:rsid w:val="00A865FC"/>
    <w:rsid w:val="00A9035D"/>
    <w:rsid w:val="00A941F8"/>
    <w:rsid w:val="00A944D8"/>
    <w:rsid w:val="00A96C75"/>
    <w:rsid w:val="00A96F4C"/>
    <w:rsid w:val="00AA117F"/>
    <w:rsid w:val="00AA19F6"/>
    <w:rsid w:val="00AA3832"/>
    <w:rsid w:val="00AA5CA2"/>
    <w:rsid w:val="00AA6795"/>
    <w:rsid w:val="00AA7002"/>
    <w:rsid w:val="00AA71AE"/>
    <w:rsid w:val="00AB064D"/>
    <w:rsid w:val="00AB34C6"/>
    <w:rsid w:val="00AB3A7D"/>
    <w:rsid w:val="00AB5208"/>
    <w:rsid w:val="00AB557A"/>
    <w:rsid w:val="00AC1FF1"/>
    <w:rsid w:val="00AC4DCB"/>
    <w:rsid w:val="00AC6FE9"/>
    <w:rsid w:val="00AD06E8"/>
    <w:rsid w:val="00AD10FE"/>
    <w:rsid w:val="00AD45D6"/>
    <w:rsid w:val="00AD57B0"/>
    <w:rsid w:val="00AE1F98"/>
    <w:rsid w:val="00AE39BB"/>
    <w:rsid w:val="00AE4E9E"/>
    <w:rsid w:val="00AE6C69"/>
    <w:rsid w:val="00AF2ACF"/>
    <w:rsid w:val="00AF3439"/>
    <w:rsid w:val="00AF5B58"/>
    <w:rsid w:val="00AF5BB5"/>
    <w:rsid w:val="00AF6476"/>
    <w:rsid w:val="00AF7816"/>
    <w:rsid w:val="00AF7BF2"/>
    <w:rsid w:val="00B00A13"/>
    <w:rsid w:val="00B10A71"/>
    <w:rsid w:val="00B111AB"/>
    <w:rsid w:val="00B112E6"/>
    <w:rsid w:val="00B12611"/>
    <w:rsid w:val="00B141C5"/>
    <w:rsid w:val="00B15012"/>
    <w:rsid w:val="00B154EE"/>
    <w:rsid w:val="00B2211D"/>
    <w:rsid w:val="00B34897"/>
    <w:rsid w:val="00B4069C"/>
    <w:rsid w:val="00B40A50"/>
    <w:rsid w:val="00B40D37"/>
    <w:rsid w:val="00B417DE"/>
    <w:rsid w:val="00B43E71"/>
    <w:rsid w:val="00B46432"/>
    <w:rsid w:val="00B519B2"/>
    <w:rsid w:val="00B52F36"/>
    <w:rsid w:val="00B56E07"/>
    <w:rsid w:val="00B63B09"/>
    <w:rsid w:val="00B64997"/>
    <w:rsid w:val="00B705B3"/>
    <w:rsid w:val="00B705D0"/>
    <w:rsid w:val="00B714F2"/>
    <w:rsid w:val="00B75E64"/>
    <w:rsid w:val="00B80E6A"/>
    <w:rsid w:val="00B81879"/>
    <w:rsid w:val="00B820D7"/>
    <w:rsid w:val="00B840DE"/>
    <w:rsid w:val="00B850E9"/>
    <w:rsid w:val="00B85EC8"/>
    <w:rsid w:val="00B86025"/>
    <w:rsid w:val="00B87077"/>
    <w:rsid w:val="00B8720C"/>
    <w:rsid w:val="00B87882"/>
    <w:rsid w:val="00B921F7"/>
    <w:rsid w:val="00B95ADF"/>
    <w:rsid w:val="00B970B1"/>
    <w:rsid w:val="00BA4236"/>
    <w:rsid w:val="00BA4737"/>
    <w:rsid w:val="00BA787D"/>
    <w:rsid w:val="00BB1676"/>
    <w:rsid w:val="00BB1FAD"/>
    <w:rsid w:val="00BB23E3"/>
    <w:rsid w:val="00BB371E"/>
    <w:rsid w:val="00BB4D34"/>
    <w:rsid w:val="00BB7511"/>
    <w:rsid w:val="00BB7965"/>
    <w:rsid w:val="00BC2890"/>
    <w:rsid w:val="00BC310E"/>
    <w:rsid w:val="00BD0825"/>
    <w:rsid w:val="00BD2239"/>
    <w:rsid w:val="00BD223D"/>
    <w:rsid w:val="00BD2A06"/>
    <w:rsid w:val="00BD36B2"/>
    <w:rsid w:val="00BD3AD3"/>
    <w:rsid w:val="00BE0564"/>
    <w:rsid w:val="00BE117B"/>
    <w:rsid w:val="00BE45E7"/>
    <w:rsid w:val="00BE4AD5"/>
    <w:rsid w:val="00BE7FC2"/>
    <w:rsid w:val="00BF01DD"/>
    <w:rsid w:val="00BF45A8"/>
    <w:rsid w:val="00BF541F"/>
    <w:rsid w:val="00BF7CC3"/>
    <w:rsid w:val="00C01438"/>
    <w:rsid w:val="00C014A6"/>
    <w:rsid w:val="00C04522"/>
    <w:rsid w:val="00C047F8"/>
    <w:rsid w:val="00C04D3C"/>
    <w:rsid w:val="00C0629E"/>
    <w:rsid w:val="00C070D6"/>
    <w:rsid w:val="00C12DA8"/>
    <w:rsid w:val="00C1367A"/>
    <w:rsid w:val="00C145D1"/>
    <w:rsid w:val="00C14F5F"/>
    <w:rsid w:val="00C17712"/>
    <w:rsid w:val="00C21DB1"/>
    <w:rsid w:val="00C233F0"/>
    <w:rsid w:val="00C23A10"/>
    <w:rsid w:val="00C25A85"/>
    <w:rsid w:val="00C301BE"/>
    <w:rsid w:val="00C32041"/>
    <w:rsid w:val="00C3505A"/>
    <w:rsid w:val="00C3666B"/>
    <w:rsid w:val="00C379C7"/>
    <w:rsid w:val="00C41C35"/>
    <w:rsid w:val="00C4275A"/>
    <w:rsid w:val="00C463A4"/>
    <w:rsid w:val="00C47834"/>
    <w:rsid w:val="00C50FA8"/>
    <w:rsid w:val="00C55C61"/>
    <w:rsid w:val="00C55DF5"/>
    <w:rsid w:val="00C61302"/>
    <w:rsid w:val="00C6343C"/>
    <w:rsid w:val="00C64460"/>
    <w:rsid w:val="00C659E4"/>
    <w:rsid w:val="00C65EE8"/>
    <w:rsid w:val="00C67B97"/>
    <w:rsid w:val="00C70675"/>
    <w:rsid w:val="00C74CFF"/>
    <w:rsid w:val="00C7549D"/>
    <w:rsid w:val="00C768EC"/>
    <w:rsid w:val="00C81C96"/>
    <w:rsid w:val="00C81D8D"/>
    <w:rsid w:val="00C855EB"/>
    <w:rsid w:val="00C878A3"/>
    <w:rsid w:val="00C92647"/>
    <w:rsid w:val="00C94972"/>
    <w:rsid w:val="00C97893"/>
    <w:rsid w:val="00C97F59"/>
    <w:rsid w:val="00CA0EB1"/>
    <w:rsid w:val="00CA3AFA"/>
    <w:rsid w:val="00CA535B"/>
    <w:rsid w:val="00CA54F3"/>
    <w:rsid w:val="00CA5CEE"/>
    <w:rsid w:val="00CA6E4E"/>
    <w:rsid w:val="00CB07C1"/>
    <w:rsid w:val="00CB3583"/>
    <w:rsid w:val="00CB451E"/>
    <w:rsid w:val="00CB4D22"/>
    <w:rsid w:val="00CC0109"/>
    <w:rsid w:val="00CC012B"/>
    <w:rsid w:val="00CC5107"/>
    <w:rsid w:val="00CC5DA6"/>
    <w:rsid w:val="00CD0C00"/>
    <w:rsid w:val="00CD1897"/>
    <w:rsid w:val="00CD1B61"/>
    <w:rsid w:val="00CE2B3E"/>
    <w:rsid w:val="00CE664C"/>
    <w:rsid w:val="00CE7137"/>
    <w:rsid w:val="00CF0983"/>
    <w:rsid w:val="00CF5831"/>
    <w:rsid w:val="00D026CD"/>
    <w:rsid w:val="00D04213"/>
    <w:rsid w:val="00D07046"/>
    <w:rsid w:val="00D07603"/>
    <w:rsid w:val="00D11648"/>
    <w:rsid w:val="00D11ED0"/>
    <w:rsid w:val="00D13EC4"/>
    <w:rsid w:val="00D2043F"/>
    <w:rsid w:val="00D215DA"/>
    <w:rsid w:val="00D227BD"/>
    <w:rsid w:val="00D246AD"/>
    <w:rsid w:val="00D27BC8"/>
    <w:rsid w:val="00D33F5E"/>
    <w:rsid w:val="00D342EE"/>
    <w:rsid w:val="00D34E01"/>
    <w:rsid w:val="00D35323"/>
    <w:rsid w:val="00D36003"/>
    <w:rsid w:val="00D431D2"/>
    <w:rsid w:val="00D43668"/>
    <w:rsid w:val="00D43B54"/>
    <w:rsid w:val="00D4695B"/>
    <w:rsid w:val="00D47518"/>
    <w:rsid w:val="00D54F4E"/>
    <w:rsid w:val="00D57474"/>
    <w:rsid w:val="00D6141E"/>
    <w:rsid w:val="00D74D1E"/>
    <w:rsid w:val="00D766E4"/>
    <w:rsid w:val="00D77E04"/>
    <w:rsid w:val="00D837DE"/>
    <w:rsid w:val="00D83A9F"/>
    <w:rsid w:val="00D84526"/>
    <w:rsid w:val="00D84F9D"/>
    <w:rsid w:val="00D85D65"/>
    <w:rsid w:val="00D86D03"/>
    <w:rsid w:val="00D87712"/>
    <w:rsid w:val="00D95663"/>
    <w:rsid w:val="00DA04C4"/>
    <w:rsid w:val="00DA1E10"/>
    <w:rsid w:val="00DA3FDF"/>
    <w:rsid w:val="00DA6105"/>
    <w:rsid w:val="00DA7A65"/>
    <w:rsid w:val="00DB2FFB"/>
    <w:rsid w:val="00DB539E"/>
    <w:rsid w:val="00DB5664"/>
    <w:rsid w:val="00DB567F"/>
    <w:rsid w:val="00DC0886"/>
    <w:rsid w:val="00DC2C15"/>
    <w:rsid w:val="00DC3F00"/>
    <w:rsid w:val="00DC4F36"/>
    <w:rsid w:val="00DC77C8"/>
    <w:rsid w:val="00DE0EB7"/>
    <w:rsid w:val="00DE3359"/>
    <w:rsid w:val="00DE34AD"/>
    <w:rsid w:val="00DE602D"/>
    <w:rsid w:val="00DE6329"/>
    <w:rsid w:val="00DE6EA1"/>
    <w:rsid w:val="00DE70E0"/>
    <w:rsid w:val="00DF31E5"/>
    <w:rsid w:val="00DF3862"/>
    <w:rsid w:val="00DF3991"/>
    <w:rsid w:val="00DF71F9"/>
    <w:rsid w:val="00E0073E"/>
    <w:rsid w:val="00E010DA"/>
    <w:rsid w:val="00E01833"/>
    <w:rsid w:val="00E04017"/>
    <w:rsid w:val="00E131A6"/>
    <w:rsid w:val="00E15BA4"/>
    <w:rsid w:val="00E21CF9"/>
    <w:rsid w:val="00E25C10"/>
    <w:rsid w:val="00E25D8B"/>
    <w:rsid w:val="00E2688A"/>
    <w:rsid w:val="00E31B34"/>
    <w:rsid w:val="00E33408"/>
    <w:rsid w:val="00E35C6E"/>
    <w:rsid w:val="00E3701D"/>
    <w:rsid w:val="00E41E61"/>
    <w:rsid w:val="00E42186"/>
    <w:rsid w:val="00E42BE7"/>
    <w:rsid w:val="00E44113"/>
    <w:rsid w:val="00E44E83"/>
    <w:rsid w:val="00E45DD3"/>
    <w:rsid w:val="00E4652A"/>
    <w:rsid w:val="00E4707B"/>
    <w:rsid w:val="00E47E1E"/>
    <w:rsid w:val="00E5258F"/>
    <w:rsid w:val="00E57066"/>
    <w:rsid w:val="00E5796B"/>
    <w:rsid w:val="00E61985"/>
    <w:rsid w:val="00E66FC7"/>
    <w:rsid w:val="00E7125D"/>
    <w:rsid w:val="00E71940"/>
    <w:rsid w:val="00E7225E"/>
    <w:rsid w:val="00E740A4"/>
    <w:rsid w:val="00E7604A"/>
    <w:rsid w:val="00E760B6"/>
    <w:rsid w:val="00E770E8"/>
    <w:rsid w:val="00E772B5"/>
    <w:rsid w:val="00E80DA7"/>
    <w:rsid w:val="00E80DEE"/>
    <w:rsid w:val="00E81555"/>
    <w:rsid w:val="00E82A86"/>
    <w:rsid w:val="00E8549D"/>
    <w:rsid w:val="00E857BB"/>
    <w:rsid w:val="00E87242"/>
    <w:rsid w:val="00E914AA"/>
    <w:rsid w:val="00EA16D9"/>
    <w:rsid w:val="00EA1D15"/>
    <w:rsid w:val="00EB137A"/>
    <w:rsid w:val="00EB3FBA"/>
    <w:rsid w:val="00EB43C9"/>
    <w:rsid w:val="00EB61E0"/>
    <w:rsid w:val="00EC457D"/>
    <w:rsid w:val="00EC4599"/>
    <w:rsid w:val="00ED1497"/>
    <w:rsid w:val="00ED1E24"/>
    <w:rsid w:val="00ED62B3"/>
    <w:rsid w:val="00EE05C1"/>
    <w:rsid w:val="00EE0788"/>
    <w:rsid w:val="00EE0B1F"/>
    <w:rsid w:val="00EE411C"/>
    <w:rsid w:val="00EE5F3E"/>
    <w:rsid w:val="00EF2968"/>
    <w:rsid w:val="00EF5818"/>
    <w:rsid w:val="00EF7247"/>
    <w:rsid w:val="00F01689"/>
    <w:rsid w:val="00F02815"/>
    <w:rsid w:val="00F11E5B"/>
    <w:rsid w:val="00F13612"/>
    <w:rsid w:val="00F1415C"/>
    <w:rsid w:val="00F241E5"/>
    <w:rsid w:val="00F2593E"/>
    <w:rsid w:val="00F30B52"/>
    <w:rsid w:val="00F33E75"/>
    <w:rsid w:val="00F34656"/>
    <w:rsid w:val="00F368E7"/>
    <w:rsid w:val="00F370B1"/>
    <w:rsid w:val="00F411F5"/>
    <w:rsid w:val="00F421A0"/>
    <w:rsid w:val="00F4315D"/>
    <w:rsid w:val="00F45041"/>
    <w:rsid w:val="00F50C47"/>
    <w:rsid w:val="00F51B15"/>
    <w:rsid w:val="00F5450B"/>
    <w:rsid w:val="00F60EFE"/>
    <w:rsid w:val="00F620FC"/>
    <w:rsid w:val="00F63FFA"/>
    <w:rsid w:val="00F65593"/>
    <w:rsid w:val="00F736F8"/>
    <w:rsid w:val="00F73876"/>
    <w:rsid w:val="00F73AC5"/>
    <w:rsid w:val="00F73BFB"/>
    <w:rsid w:val="00F74276"/>
    <w:rsid w:val="00F766D3"/>
    <w:rsid w:val="00F82B85"/>
    <w:rsid w:val="00F82C8F"/>
    <w:rsid w:val="00F84D25"/>
    <w:rsid w:val="00F86C67"/>
    <w:rsid w:val="00F92D76"/>
    <w:rsid w:val="00F92E2D"/>
    <w:rsid w:val="00F96E3B"/>
    <w:rsid w:val="00F97320"/>
    <w:rsid w:val="00F9765F"/>
    <w:rsid w:val="00F976F8"/>
    <w:rsid w:val="00FA3A03"/>
    <w:rsid w:val="00FA4E42"/>
    <w:rsid w:val="00FA52A3"/>
    <w:rsid w:val="00FA5662"/>
    <w:rsid w:val="00FA58D1"/>
    <w:rsid w:val="00FA7FF2"/>
    <w:rsid w:val="00FB07C7"/>
    <w:rsid w:val="00FB095E"/>
    <w:rsid w:val="00FB1985"/>
    <w:rsid w:val="00FB30E7"/>
    <w:rsid w:val="00FB3A04"/>
    <w:rsid w:val="00FC0C94"/>
    <w:rsid w:val="00FC1539"/>
    <w:rsid w:val="00FC53EC"/>
    <w:rsid w:val="00FC7A49"/>
    <w:rsid w:val="00FD2D84"/>
    <w:rsid w:val="00FD491F"/>
    <w:rsid w:val="00FE0675"/>
    <w:rsid w:val="00FE3CB0"/>
    <w:rsid w:val="00FE44F0"/>
    <w:rsid w:val="00FE48BE"/>
    <w:rsid w:val="00FE515D"/>
    <w:rsid w:val="00FF071A"/>
    <w:rsid w:val="00FF179D"/>
    <w:rsid w:val="00FF20E0"/>
    <w:rsid w:val="00FF691B"/>
    <w:rsid w:val="00FF7166"/>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418B8BDC"/>
  <w15:docId w15:val="{7C9310ED-5954-4572-B84E-0EB5779B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20B"/>
    <w:rPr>
      <w:sz w:val="24"/>
      <w:szCs w:val="24"/>
    </w:rPr>
  </w:style>
  <w:style w:type="paragraph" w:styleId="Heading1">
    <w:name w:val="heading 1"/>
    <w:basedOn w:val="Normal"/>
    <w:next w:val="Normal"/>
    <w:qFormat/>
    <w:pPr>
      <w:keepNext/>
      <w:ind w:left="720"/>
      <w:jc w:val="both"/>
      <w:outlineLvl w:val="0"/>
    </w:pPr>
    <w:rPr>
      <w:u w:val="single"/>
    </w:rPr>
  </w:style>
  <w:style w:type="paragraph" w:styleId="Heading2">
    <w:name w:val="heading 2"/>
    <w:basedOn w:val="Normal"/>
    <w:next w:val="Normal"/>
    <w:qFormat/>
    <w:pPr>
      <w:keepNext/>
      <w:tabs>
        <w:tab w:val="left" w:pos="300"/>
      </w:tabs>
      <w:spacing w:after="120"/>
      <w:jc w:val="center"/>
      <w:outlineLvl w:val="1"/>
    </w:pPr>
    <w:rPr>
      <w:b/>
      <w:bCs/>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numPr>
        <w:numId w:val="1"/>
      </w:numPr>
      <w:outlineLvl w:val="4"/>
    </w:pPr>
    <w:rPr>
      <w:b/>
      <w:szCs w:val="20"/>
    </w:rPr>
  </w:style>
  <w:style w:type="paragraph" w:styleId="Heading7">
    <w:name w:val="heading 7"/>
    <w:basedOn w:val="Normal"/>
    <w:next w:val="Normal"/>
    <w:qFormat/>
    <w:pPr>
      <w:keepNext/>
      <w:overflowPunct w:val="0"/>
      <w:autoSpaceDE w:val="0"/>
      <w:autoSpaceDN w:val="0"/>
      <w:adjustRightInd w:val="0"/>
      <w:spacing w:line="480" w:lineRule="auto"/>
      <w:ind w:firstLine="720"/>
      <w:textAlignment w:val="baseline"/>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L1">
    <w:name w:val="Agree_L1"/>
    <w:basedOn w:val="Normal"/>
    <w:next w:val="BodyText"/>
    <w:pPr>
      <w:keepNext/>
      <w:keepLines/>
      <w:numPr>
        <w:numId w:val="6"/>
      </w:numPr>
      <w:spacing w:after="240"/>
      <w:jc w:val="both"/>
      <w:outlineLvl w:val="0"/>
    </w:pPr>
    <w:rPr>
      <w:b/>
      <w:szCs w:val="20"/>
    </w:rPr>
  </w:style>
  <w:style w:type="paragraph" w:styleId="BodyText">
    <w:name w:val="Body Text"/>
    <w:basedOn w:val="Normal"/>
    <w:pPr>
      <w:overflowPunct w:val="0"/>
      <w:autoSpaceDE w:val="0"/>
      <w:autoSpaceDN w:val="0"/>
      <w:adjustRightInd w:val="0"/>
      <w:spacing w:line="480" w:lineRule="auto"/>
      <w:textAlignment w:val="baseline"/>
    </w:pPr>
    <w:rPr>
      <w:szCs w:val="20"/>
    </w:rPr>
  </w:style>
  <w:style w:type="paragraph" w:customStyle="1" w:styleId="AgreeL2">
    <w:name w:val="Agree_L2"/>
    <w:basedOn w:val="AgreeL1"/>
    <w:next w:val="BodyText"/>
    <w:pPr>
      <w:numPr>
        <w:ilvl w:val="1"/>
      </w:numPr>
      <w:ind w:left="1440" w:hanging="360"/>
      <w:outlineLvl w:val="1"/>
    </w:pPr>
    <w:rPr>
      <w:b w:val="0"/>
      <w:sz w:val="20"/>
    </w:rPr>
  </w:style>
  <w:style w:type="paragraph" w:customStyle="1" w:styleId="AgreeL3">
    <w:name w:val="Agree_L3"/>
    <w:basedOn w:val="AgreeL2"/>
    <w:next w:val="BodyText"/>
    <w:pPr>
      <w:keepNext w:val="0"/>
      <w:keepLines w:val="0"/>
      <w:numPr>
        <w:ilvl w:val="2"/>
      </w:numPr>
      <w:ind w:left="2160" w:hanging="180"/>
      <w:outlineLvl w:val="2"/>
    </w:pPr>
  </w:style>
  <w:style w:type="paragraph" w:customStyle="1" w:styleId="AgreeL4">
    <w:name w:val="Agree_L4"/>
    <w:basedOn w:val="AgreeL3"/>
    <w:next w:val="BodyText"/>
    <w:pPr>
      <w:numPr>
        <w:ilvl w:val="3"/>
      </w:numPr>
      <w:ind w:left="2880" w:right="360" w:hanging="360"/>
      <w:outlineLvl w:val="3"/>
    </w:pPr>
  </w:style>
  <w:style w:type="paragraph" w:customStyle="1" w:styleId="AgreeL5">
    <w:name w:val="Agree_L5"/>
    <w:basedOn w:val="AgreeL4"/>
    <w:next w:val="BodyText"/>
    <w:pPr>
      <w:numPr>
        <w:ilvl w:val="4"/>
      </w:numPr>
      <w:ind w:left="3600" w:right="720" w:hanging="360"/>
      <w:outlineLvl w:val="4"/>
    </w:pPr>
  </w:style>
  <w:style w:type="paragraph" w:customStyle="1" w:styleId="Plain">
    <w:name w:val="Plain"/>
    <w:basedOn w:val="Normal"/>
    <w:pPr>
      <w:overflowPunct w:val="0"/>
      <w:autoSpaceDE w:val="0"/>
      <w:autoSpaceDN w:val="0"/>
      <w:adjustRightInd w:val="0"/>
      <w:textAlignment w:val="baseline"/>
    </w:pPr>
    <w:rPr>
      <w:szCs w:val="20"/>
    </w:rPr>
  </w:style>
  <w:style w:type="paragraph" w:styleId="BalloonText">
    <w:name w:val="Balloon Text"/>
    <w:basedOn w:val="Normal"/>
    <w:semiHidden/>
    <w:pPr>
      <w:overflowPunct w:val="0"/>
      <w:autoSpaceDE w:val="0"/>
      <w:autoSpaceDN w:val="0"/>
      <w:adjustRightInd w:val="0"/>
      <w:textAlignment w:val="baseline"/>
    </w:pPr>
    <w:rPr>
      <w:rFonts w:ascii="Tahoma" w:hAnsi="Tahoma" w:cs="Tahoma"/>
      <w:sz w:val="16"/>
      <w:szCs w:val="16"/>
    </w:rPr>
  </w:style>
  <w:style w:type="paragraph" w:customStyle="1" w:styleId="bodytextblock">
    <w:name w:val="body text block"/>
    <w:basedOn w:val="BodyText1"/>
    <w:next w:val="BodyText1"/>
    <w:pPr>
      <w:ind w:firstLine="0"/>
    </w:pPr>
  </w:style>
  <w:style w:type="paragraph" w:customStyle="1" w:styleId="BodyText1">
    <w:name w:val="Body Text1"/>
    <w:basedOn w:val="Normal"/>
    <w:pPr>
      <w:overflowPunct w:val="0"/>
      <w:autoSpaceDE w:val="0"/>
      <w:autoSpaceDN w:val="0"/>
      <w:adjustRightInd w:val="0"/>
      <w:spacing w:before="240" w:line="240" w:lineRule="atLeast"/>
      <w:ind w:firstLine="720"/>
      <w:textAlignment w:val="baseline"/>
    </w:pPr>
    <w:rPr>
      <w:szCs w:val="20"/>
    </w:rPr>
  </w:style>
  <w:style w:type="paragraph" w:styleId="BodyTextIndent2">
    <w:name w:val="Body Text Indent 2"/>
    <w:basedOn w:val="Normal"/>
    <w:pPr>
      <w:spacing w:line="480" w:lineRule="auto"/>
      <w:ind w:firstLine="720"/>
    </w:pPr>
  </w:style>
  <w:style w:type="paragraph" w:customStyle="1" w:styleId="10sp05">
    <w:name w:val="_1.0sp 0.5&quot;"/>
    <w:basedOn w:val="Normal"/>
    <w:pPr>
      <w:suppressAutoHyphens/>
      <w:autoSpaceDE w:val="0"/>
      <w:autoSpaceDN w:val="0"/>
      <w:adjustRightInd w:val="0"/>
      <w:spacing w:after="240"/>
      <w:ind w:firstLine="720"/>
      <w:jc w:val="both"/>
    </w:pPr>
  </w:style>
  <w:style w:type="character" w:styleId="Strong">
    <w:name w:val="Strong"/>
    <w:qFormat/>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sz w:val="20"/>
      <w:szCs w:val="20"/>
    </w:rPr>
  </w:style>
  <w:style w:type="paragraph" w:customStyle="1" w:styleId="BodyTextContinued">
    <w:name w:val="Body Text Continued"/>
    <w:basedOn w:val="BodyText"/>
    <w:next w:val="BodyText"/>
    <w:pPr>
      <w:widowControl w:val="0"/>
      <w:overflowPunct/>
      <w:autoSpaceDE/>
      <w:autoSpaceDN/>
      <w:adjustRightInd/>
      <w:spacing w:after="240" w:line="240" w:lineRule="auto"/>
      <w:textAlignment w:val="auto"/>
    </w:pPr>
  </w:style>
  <w:style w:type="paragraph" w:styleId="BodyText2">
    <w:name w:val="Body Text 2"/>
    <w:basedOn w:val="Normal"/>
    <w:pPr>
      <w:overflowPunct w:val="0"/>
      <w:autoSpaceDE w:val="0"/>
      <w:autoSpaceDN w:val="0"/>
      <w:adjustRightInd w:val="0"/>
      <w:spacing w:line="480" w:lineRule="auto"/>
      <w:ind w:right="-360"/>
      <w:textAlignment w:val="baseline"/>
    </w:pPr>
    <w:rPr>
      <w:szCs w:val="20"/>
    </w:rPr>
  </w:style>
  <w:style w:type="paragraph" w:styleId="BodyTextIndent">
    <w:name w:val="Body Text Indent"/>
    <w:basedOn w:val="Normal"/>
    <w:pPr>
      <w:spacing w:line="480" w:lineRule="auto"/>
      <w:ind w:firstLine="1440"/>
    </w:pPr>
  </w:style>
  <w:style w:type="paragraph" w:styleId="Title">
    <w:name w:val="Title"/>
    <w:basedOn w:val="Normal"/>
    <w:qFormat/>
    <w:pPr>
      <w:jc w:val="center"/>
    </w:pPr>
    <w:rPr>
      <w:u w:val="single"/>
    </w:rPr>
  </w:style>
  <w:style w:type="paragraph" w:styleId="Subtitle">
    <w:name w:val="Sub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480" w:lineRule="atLeast"/>
      <w:jc w:val="center"/>
      <w:textAlignment w:val="baseline"/>
    </w:pPr>
    <w:rPr>
      <w:b/>
      <w:bCs/>
      <w:szCs w:val="20"/>
      <w:u w:val="single"/>
    </w:rPr>
  </w:style>
  <w:style w:type="paragraph" w:styleId="TOC7">
    <w:name w:val="toc 7"/>
    <w:basedOn w:val="Normal"/>
    <w:next w:val="Normal"/>
    <w:autoRedefine/>
    <w:semiHidden/>
    <w:pPr>
      <w:ind w:left="1440"/>
    </w:pPr>
  </w:style>
  <w:style w:type="character" w:styleId="PageNumber">
    <w:name w:val="page number"/>
    <w:basedOn w:val="DefaultParagraphFont"/>
  </w:style>
  <w:style w:type="paragraph" w:styleId="BodyTextIndent3">
    <w:name w:val="Body Text Indent 3"/>
    <w:basedOn w:val="Normal"/>
    <w:pPr>
      <w:ind w:left="720" w:firstLine="2160"/>
      <w:jc w:val="both"/>
    </w:pPr>
  </w:style>
  <w:style w:type="paragraph" w:customStyle="1" w:styleId="SectionL1">
    <w:name w:val="Section_L1"/>
    <w:basedOn w:val="Normal"/>
    <w:next w:val="BodyText"/>
    <w:rsid w:val="00EB3FBA"/>
    <w:pPr>
      <w:tabs>
        <w:tab w:val="num" w:pos="720"/>
      </w:tabs>
      <w:spacing w:after="240"/>
      <w:outlineLvl w:val="0"/>
    </w:pPr>
    <w:rPr>
      <w:szCs w:val="20"/>
    </w:rPr>
  </w:style>
  <w:style w:type="paragraph" w:customStyle="1" w:styleId="SectionL2">
    <w:name w:val="Section_L2"/>
    <w:basedOn w:val="SectionL1"/>
    <w:next w:val="BodyText"/>
    <w:rsid w:val="00EB3FBA"/>
    <w:pPr>
      <w:tabs>
        <w:tab w:val="clear" w:pos="720"/>
        <w:tab w:val="num" w:pos="1440"/>
      </w:tabs>
      <w:ind w:firstLine="720"/>
      <w:jc w:val="both"/>
      <w:outlineLvl w:val="1"/>
    </w:pPr>
  </w:style>
  <w:style w:type="paragraph" w:customStyle="1" w:styleId="SectionL3">
    <w:name w:val="Section_L3"/>
    <w:basedOn w:val="SectionL2"/>
    <w:next w:val="BodyText"/>
    <w:rsid w:val="00EB3FBA"/>
    <w:pPr>
      <w:outlineLvl w:val="2"/>
    </w:pPr>
  </w:style>
  <w:style w:type="paragraph" w:customStyle="1" w:styleId="SectionL4">
    <w:name w:val="Section_L4"/>
    <w:basedOn w:val="SectionL3"/>
    <w:next w:val="BodyText"/>
    <w:rsid w:val="00EB3FBA"/>
    <w:pPr>
      <w:tabs>
        <w:tab w:val="clear" w:pos="1440"/>
        <w:tab w:val="num" w:pos="2160"/>
      </w:tabs>
      <w:ind w:left="720"/>
      <w:outlineLvl w:val="3"/>
    </w:pPr>
  </w:style>
  <w:style w:type="paragraph" w:customStyle="1" w:styleId="SectionL5">
    <w:name w:val="Section_L5"/>
    <w:basedOn w:val="SectionL4"/>
    <w:next w:val="BodyText"/>
    <w:rsid w:val="00EB3FBA"/>
    <w:pPr>
      <w:tabs>
        <w:tab w:val="clear" w:pos="2160"/>
        <w:tab w:val="num" w:pos="2880"/>
      </w:tabs>
      <w:ind w:firstLine="1440"/>
      <w:outlineLvl w:val="4"/>
    </w:pPr>
  </w:style>
  <w:style w:type="character" w:styleId="CommentReference">
    <w:name w:val="annotation reference"/>
    <w:rsid w:val="00CB4D22"/>
    <w:rPr>
      <w:sz w:val="16"/>
      <w:szCs w:val="16"/>
    </w:rPr>
  </w:style>
  <w:style w:type="paragraph" w:styleId="CommentText">
    <w:name w:val="annotation text"/>
    <w:basedOn w:val="Normal"/>
    <w:link w:val="CommentTextChar"/>
    <w:rsid w:val="00CB4D22"/>
    <w:rPr>
      <w:sz w:val="20"/>
      <w:szCs w:val="20"/>
    </w:rPr>
  </w:style>
  <w:style w:type="character" w:customStyle="1" w:styleId="CommentTextChar">
    <w:name w:val="Comment Text Char"/>
    <w:basedOn w:val="DefaultParagraphFont"/>
    <w:link w:val="CommentText"/>
    <w:rsid w:val="00CB4D22"/>
  </w:style>
  <w:style w:type="paragraph" w:styleId="CommentSubject">
    <w:name w:val="annotation subject"/>
    <w:basedOn w:val="CommentText"/>
    <w:next w:val="CommentText"/>
    <w:link w:val="CommentSubjectChar"/>
    <w:rsid w:val="00CB4D22"/>
    <w:rPr>
      <w:b/>
      <w:bCs/>
    </w:rPr>
  </w:style>
  <w:style w:type="character" w:customStyle="1" w:styleId="CommentSubjectChar">
    <w:name w:val="Comment Subject Char"/>
    <w:link w:val="CommentSubject"/>
    <w:rsid w:val="00CB4D22"/>
    <w:rPr>
      <w:b/>
      <w:bCs/>
    </w:rPr>
  </w:style>
  <w:style w:type="character" w:customStyle="1" w:styleId="FooterChar">
    <w:name w:val="Footer Char"/>
    <w:link w:val="Footer"/>
    <w:uiPriority w:val="99"/>
    <w:rsid w:val="002813C4"/>
  </w:style>
  <w:style w:type="paragraph" w:customStyle="1" w:styleId="Default">
    <w:name w:val="Default"/>
    <w:basedOn w:val="Normal"/>
    <w:rsid w:val="005F7762"/>
    <w:pPr>
      <w:autoSpaceDE w:val="0"/>
      <w:autoSpaceDN w:val="0"/>
    </w:pPr>
    <w:rPr>
      <w:rFonts w:ascii="Arial" w:eastAsia="Calibri" w:hAnsi="Arial" w:cs="Arial"/>
      <w:color w:val="000000"/>
    </w:rPr>
  </w:style>
  <w:style w:type="paragraph" w:styleId="ListParagraph">
    <w:name w:val="List Paragraph"/>
    <w:basedOn w:val="Normal"/>
    <w:uiPriority w:val="34"/>
    <w:qFormat/>
    <w:rsid w:val="00AD45D6"/>
    <w:pPr>
      <w:ind w:left="720"/>
    </w:pPr>
  </w:style>
  <w:style w:type="paragraph" w:styleId="Revision">
    <w:name w:val="Revision"/>
    <w:hidden/>
    <w:uiPriority w:val="99"/>
    <w:semiHidden/>
    <w:rsid w:val="002766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092521">
      <w:bodyDiv w:val="1"/>
      <w:marLeft w:val="0"/>
      <w:marRight w:val="0"/>
      <w:marTop w:val="0"/>
      <w:marBottom w:val="0"/>
      <w:divBdr>
        <w:top w:val="none" w:sz="0" w:space="0" w:color="auto"/>
        <w:left w:val="none" w:sz="0" w:space="0" w:color="auto"/>
        <w:bottom w:val="none" w:sz="0" w:space="0" w:color="auto"/>
        <w:right w:val="none" w:sz="0" w:space="0" w:color="auto"/>
      </w:divBdr>
    </w:div>
    <w:div w:id="853494077">
      <w:bodyDiv w:val="1"/>
      <w:marLeft w:val="0"/>
      <w:marRight w:val="0"/>
      <w:marTop w:val="0"/>
      <w:marBottom w:val="0"/>
      <w:divBdr>
        <w:top w:val="none" w:sz="0" w:space="0" w:color="auto"/>
        <w:left w:val="none" w:sz="0" w:space="0" w:color="auto"/>
        <w:bottom w:val="none" w:sz="0" w:space="0" w:color="auto"/>
        <w:right w:val="none" w:sz="0" w:space="0" w:color="auto"/>
      </w:divBdr>
    </w:div>
    <w:div w:id="1056323268">
      <w:bodyDiv w:val="1"/>
      <w:marLeft w:val="0"/>
      <w:marRight w:val="0"/>
      <w:marTop w:val="0"/>
      <w:marBottom w:val="0"/>
      <w:divBdr>
        <w:top w:val="none" w:sz="0" w:space="0" w:color="auto"/>
        <w:left w:val="none" w:sz="0" w:space="0" w:color="auto"/>
        <w:bottom w:val="none" w:sz="0" w:space="0" w:color="auto"/>
        <w:right w:val="none" w:sz="0" w:space="0" w:color="auto"/>
      </w:divBdr>
      <w:divsChild>
        <w:div w:id="2072390160">
          <w:marLeft w:val="0"/>
          <w:marRight w:val="0"/>
          <w:marTop w:val="0"/>
          <w:marBottom w:val="0"/>
          <w:divBdr>
            <w:top w:val="none" w:sz="0" w:space="0" w:color="auto"/>
            <w:left w:val="none" w:sz="0" w:space="0" w:color="auto"/>
            <w:bottom w:val="none" w:sz="0" w:space="0" w:color="auto"/>
            <w:right w:val="none" w:sz="0" w:space="0" w:color="auto"/>
          </w:divBdr>
          <w:divsChild>
            <w:div w:id="16228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0214">
      <w:bodyDiv w:val="1"/>
      <w:marLeft w:val="0"/>
      <w:marRight w:val="0"/>
      <w:marTop w:val="0"/>
      <w:marBottom w:val="0"/>
      <w:divBdr>
        <w:top w:val="none" w:sz="0" w:space="0" w:color="auto"/>
        <w:left w:val="none" w:sz="0" w:space="0" w:color="auto"/>
        <w:bottom w:val="none" w:sz="0" w:space="0" w:color="auto"/>
        <w:right w:val="none" w:sz="0" w:space="0" w:color="auto"/>
      </w:divBdr>
      <w:divsChild>
        <w:div w:id="351612548">
          <w:marLeft w:val="0"/>
          <w:marRight w:val="0"/>
          <w:marTop w:val="0"/>
          <w:marBottom w:val="240"/>
          <w:divBdr>
            <w:top w:val="none" w:sz="0" w:space="0" w:color="auto"/>
            <w:left w:val="none" w:sz="0" w:space="0" w:color="auto"/>
            <w:bottom w:val="none" w:sz="0" w:space="0" w:color="auto"/>
            <w:right w:val="none" w:sz="0" w:space="0" w:color="auto"/>
          </w:divBdr>
        </w:div>
        <w:div w:id="305359518">
          <w:marLeft w:val="0"/>
          <w:marRight w:val="0"/>
          <w:marTop w:val="0"/>
          <w:marBottom w:val="240"/>
          <w:divBdr>
            <w:top w:val="none" w:sz="0" w:space="0" w:color="auto"/>
            <w:left w:val="none" w:sz="0" w:space="0" w:color="auto"/>
            <w:bottom w:val="none" w:sz="0" w:space="0" w:color="auto"/>
            <w:right w:val="none" w:sz="0" w:space="0" w:color="auto"/>
          </w:divBdr>
        </w:div>
      </w:divsChild>
    </w:div>
    <w:div w:id="1618292841">
      <w:bodyDiv w:val="1"/>
      <w:marLeft w:val="0"/>
      <w:marRight w:val="0"/>
      <w:marTop w:val="0"/>
      <w:marBottom w:val="0"/>
      <w:divBdr>
        <w:top w:val="none" w:sz="0" w:space="0" w:color="auto"/>
        <w:left w:val="none" w:sz="0" w:space="0" w:color="auto"/>
        <w:bottom w:val="none" w:sz="0" w:space="0" w:color="auto"/>
        <w:right w:val="none" w:sz="0" w:space="0" w:color="auto"/>
      </w:divBdr>
    </w:div>
    <w:div w:id="169059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F4976-2E93-4BEB-99C1-CC37AF2D5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2907</Words>
  <Characters>15647</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Company>California Housing Finance Agency</Company>
  <LinksUpToDate>false</LinksUpToDate>
  <CharactersWithSpaces>18517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Ballmer</dc:creator>
  <cp:keywords/>
  <dc:description/>
  <cp:lastModifiedBy>Dabney, Carolyn S@DOT</cp:lastModifiedBy>
  <cp:revision>2</cp:revision>
  <cp:lastPrinted>2023-03-22T18:45:00Z</cp:lastPrinted>
  <dcterms:created xsi:type="dcterms:W3CDTF">2024-02-26T08:40:00Z</dcterms:created>
  <dcterms:modified xsi:type="dcterms:W3CDTF">2024-02-26T08:40:00Z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oFAAXzy6TWd89pizKMhVkWT0hC89n0OlxqnyI/aYHdqSfnHKaR5pbr5m0fm+MgUh3KavBvKBRjo8nWRz_x000d_
2zi2op485cM0ods6aaGIqKWi8ZhOyT+lfJfZn3igoFAJsXcycmz7MCmhtmbCtRi+CSB7eS41ze/H_x000d_
yNIYll9FcZWMaVzNYla9liSNqUmgI9tD/V8LILJ67Zn+Zpc2aLxb/4Lx1hOJpBHGxhJhypQLU4+L_x000d_
9kFTMTWHZ9l5oWPXO</vt:lpwstr>
  </property>
  <property fmtid="{D5CDD505-2E9C-101B-9397-08002B2CF9AE}" pid="3" name="MAIL_MSG_ID2">
    <vt:lpwstr>QgT53jqbfVfWTR2y0Gc+xtuDi97dMDY61581938c/Aq8laZLYaIshuEuhvi_x000d_
sj5pihIJKhEhn4x5H6B30fe/cHqoxoFdOPUP7kZ9AhwMpSkW</vt:lpwstr>
  </property>
  <property fmtid="{D5CDD505-2E9C-101B-9397-08002B2CF9AE}" pid="4" name="RESPONSE_SENDER_NAME">
    <vt:lpwstr>sAAAb0xRtPDW5UulzyZ35Lv5cmL81sVByVTn6OL+byTTrxI=</vt:lpwstr>
  </property>
  <property fmtid="{D5CDD505-2E9C-101B-9397-08002B2CF9AE}" pid="5" name="EMAIL_OWNER_ADDRESS">
    <vt:lpwstr>sAAAUYtyAkeNWR4PQtLO60aEsD/Ws1wCF0egCBkwC6g3Xt0=</vt:lpwstr>
  </property>
</Properties>
</file>